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B7F" w:rsidRDefault="006608A4">
      <w:r>
        <w:rPr>
          <w:noProof/>
        </w:rPr>
        <w:drawing>
          <wp:inline distT="0" distB="0" distL="0" distR="0">
            <wp:extent cx="5277923" cy="188785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78cb2eeeaaa4492f6f428886b1f7c5.png"/>
                    <pic:cNvPicPr/>
                  </pic:nvPicPr>
                  <pic:blipFill>
                    <a:blip r:embed="rId10">
                      <a:extLst>
                        <a:ext uri="{28A0092B-C50C-407E-A947-70E740481C1C}">
                          <a14:useLocalDpi xmlns:a14="http://schemas.microsoft.com/office/drawing/2010/main" val="0"/>
                        </a:ext>
                      </a:extLst>
                    </a:blip>
                    <a:stretch>
                      <a:fillRect/>
                    </a:stretch>
                  </pic:blipFill>
                  <pic:spPr>
                    <a:xfrm>
                      <a:off x="0" y="0"/>
                      <a:ext cx="5277923" cy="1887855"/>
                    </a:xfrm>
                    <a:prstGeom prst="rect">
                      <a:avLst/>
                    </a:prstGeom>
                  </pic:spPr>
                </pic:pic>
              </a:graphicData>
            </a:graphic>
          </wp:inline>
        </w:drawing>
      </w:r>
    </w:p>
    <w:p w:rsidR="00C53BCE" w:rsidRPr="009E4467" w:rsidRDefault="00C53BCE" w:rsidP="00C53BCE">
      <w:pPr>
        <w:pStyle w:val="a6"/>
        <w:spacing w:before="0" w:beforeAutospacing="0" w:after="0" w:afterAutospacing="0"/>
        <w:ind w:firstLine="480"/>
        <w:rPr>
          <w:rFonts w:asciiTheme="minorEastAsia" w:eastAsiaTheme="minorEastAsia" w:hAnsiTheme="minorEastAsia"/>
          <w:color w:val="000000"/>
          <w:sz w:val="28"/>
          <w:szCs w:val="28"/>
        </w:rPr>
      </w:pPr>
      <w:bookmarkStart w:id="0" w:name="OLE_LINK1"/>
      <w:bookmarkStart w:id="1" w:name="OLE_LINK2"/>
      <w:r w:rsidRPr="009E4467">
        <w:rPr>
          <w:rStyle w:val="a8"/>
          <w:rFonts w:asciiTheme="minorEastAsia" w:eastAsiaTheme="minorEastAsia" w:hAnsiTheme="minorEastAsia"/>
          <w:color w:val="000000"/>
          <w:sz w:val="28"/>
          <w:szCs w:val="28"/>
        </w:rPr>
        <w:t>1</w:t>
      </w:r>
      <w:r w:rsidRPr="009E4467">
        <w:rPr>
          <w:rStyle w:val="a8"/>
          <w:rFonts w:asciiTheme="minorEastAsia" w:eastAsiaTheme="minorEastAsia" w:hAnsiTheme="minorEastAsia" w:hint="eastAsia"/>
          <w:color w:val="000000"/>
          <w:sz w:val="28"/>
          <w:szCs w:val="28"/>
        </w:rPr>
        <w:t>、</w:t>
      </w:r>
      <w:r w:rsidRPr="009E4467">
        <w:rPr>
          <w:rStyle w:val="a8"/>
          <w:rFonts w:asciiTheme="minorEastAsia" w:eastAsiaTheme="minorEastAsia" w:hAnsiTheme="minorEastAsia"/>
          <w:color w:val="000000"/>
          <w:sz w:val="28"/>
          <w:szCs w:val="28"/>
        </w:rPr>
        <w:t>盘面情况</w:t>
      </w:r>
      <w:r w:rsidRPr="009E4467">
        <w:rPr>
          <w:rStyle w:val="a8"/>
          <w:rFonts w:asciiTheme="minorEastAsia" w:eastAsiaTheme="minorEastAsia" w:hAnsiTheme="minorEastAsia" w:hint="eastAsia"/>
          <w:color w:val="000000"/>
          <w:sz w:val="28"/>
          <w:szCs w:val="28"/>
        </w:rPr>
        <w:t>：</w:t>
      </w:r>
    </w:p>
    <w:p w:rsidR="00C53BCE" w:rsidRPr="009E4467" w:rsidRDefault="00C53BCE" w:rsidP="00C53BCE">
      <w:pPr>
        <w:pStyle w:val="a6"/>
        <w:spacing w:before="225" w:beforeAutospacing="0" w:after="0" w:afterAutospacing="0"/>
        <w:ind w:firstLine="480"/>
        <w:rPr>
          <w:rFonts w:ascii="等线" w:eastAsia="等线" w:hAnsi="等线"/>
          <w:color w:val="000000"/>
          <w:sz w:val="29"/>
          <w:szCs w:val="29"/>
        </w:rPr>
      </w:pPr>
      <w:r w:rsidRPr="009E4467">
        <w:rPr>
          <w:rFonts w:ascii="等线" w:eastAsia="等线" w:hAnsi="等线" w:hint="eastAsia"/>
          <w:color w:val="000000"/>
          <w:sz w:val="29"/>
          <w:szCs w:val="29"/>
        </w:rPr>
        <w:t>PVC2</w:t>
      </w:r>
      <w:r>
        <w:rPr>
          <w:rFonts w:ascii="等线" w:eastAsia="等线" w:hAnsi="等线" w:hint="eastAsia"/>
          <w:color w:val="000000"/>
          <w:sz w:val="29"/>
          <w:szCs w:val="29"/>
        </w:rPr>
        <w:t>305</w:t>
      </w:r>
      <w:r w:rsidRPr="009E4467">
        <w:rPr>
          <w:rFonts w:ascii="等线" w:eastAsia="等线" w:hAnsi="等线" w:hint="eastAsia"/>
          <w:color w:val="000000"/>
          <w:sz w:val="29"/>
          <w:szCs w:val="29"/>
        </w:rPr>
        <w:t>合约当日收盘价</w:t>
      </w:r>
      <w:r w:rsidR="00712AD5">
        <w:rPr>
          <w:rFonts w:ascii="等线" w:eastAsia="等线" w:hAnsi="等线" w:hint="eastAsia"/>
          <w:color w:val="000000"/>
          <w:sz w:val="29"/>
          <w:szCs w:val="29"/>
        </w:rPr>
        <w:t>6</w:t>
      </w:r>
      <w:r w:rsidR="001842E1">
        <w:rPr>
          <w:rFonts w:ascii="等线" w:eastAsia="等线" w:hAnsi="等线" w:hint="eastAsia"/>
          <w:color w:val="000000"/>
          <w:sz w:val="29"/>
          <w:szCs w:val="29"/>
        </w:rPr>
        <w:t>398</w:t>
      </w:r>
      <w:r w:rsidRPr="009E4467">
        <w:rPr>
          <w:rFonts w:ascii="等线" w:eastAsia="等线" w:hAnsi="等线" w:hint="eastAsia"/>
          <w:color w:val="000000"/>
          <w:sz w:val="29"/>
          <w:szCs w:val="29"/>
        </w:rPr>
        <w:t>元/吨，成交量</w:t>
      </w:r>
      <w:r w:rsidR="001842E1">
        <w:rPr>
          <w:rFonts w:ascii="等线" w:eastAsia="等线" w:hAnsi="等线" w:hint="eastAsia"/>
          <w:color w:val="000000"/>
          <w:sz w:val="29"/>
          <w:szCs w:val="29"/>
        </w:rPr>
        <w:t>68.12</w:t>
      </w:r>
      <w:r w:rsidRPr="009E4467">
        <w:rPr>
          <w:rFonts w:ascii="等线" w:eastAsia="等线" w:hAnsi="等线" w:hint="eastAsia"/>
          <w:color w:val="000000"/>
          <w:sz w:val="29"/>
          <w:szCs w:val="29"/>
        </w:rPr>
        <w:t>万手，较上一日</w:t>
      </w:r>
      <w:r w:rsidR="001842E1">
        <w:rPr>
          <w:rFonts w:ascii="等线" w:eastAsia="等线" w:hAnsi="等线" w:hint="eastAsia"/>
          <w:color w:val="000000"/>
          <w:sz w:val="29"/>
          <w:szCs w:val="29"/>
        </w:rPr>
        <w:t>下跌19.12</w:t>
      </w:r>
      <w:r w:rsidRPr="009E4467">
        <w:rPr>
          <w:rFonts w:ascii="等线" w:eastAsia="等线" w:hAnsi="等线" w:hint="eastAsia"/>
          <w:color w:val="000000"/>
          <w:sz w:val="29"/>
          <w:szCs w:val="29"/>
        </w:rPr>
        <w:t>%。持仓量</w:t>
      </w:r>
      <w:r w:rsidR="006608A4">
        <w:rPr>
          <w:rFonts w:ascii="等线" w:eastAsia="等线" w:hAnsi="等线" w:hint="eastAsia"/>
          <w:color w:val="000000"/>
          <w:sz w:val="29"/>
          <w:szCs w:val="29"/>
        </w:rPr>
        <w:t>6</w:t>
      </w:r>
      <w:r w:rsidR="001842E1">
        <w:rPr>
          <w:rFonts w:ascii="等线" w:eastAsia="等线" w:hAnsi="等线" w:hint="eastAsia"/>
          <w:color w:val="000000"/>
          <w:sz w:val="29"/>
          <w:szCs w:val="29"/>
        </w:rPr>
        <w:t>7.65</w:t>
      </w:r>
      <w:r w:rsidRPr="009E4467">
        <w:rPr>
          <w:rFonts w:ascii="等线" w:eastAsia="等线" w:hAnsi="等线" w:hint="eastAsia"/>
          <w:color w:val="000000"/>
          <w:sz w:val="29"/>
          <w:szCs w:val="29"/>
        </w:rPr>
        <w:t>万手，较昨日</w:t>
      </w:r>
      <w:r w:rsidR="001842E1">
        <w:rPr>
          <w:rFonts w:ascii="等线" w:eastAsia="等线" w:hAnsi="等线" w:hint="eastAsia"/>
          <w:color w:val="000000"/>
          <w:sz w:val="29"/>
          <w:szCs w:val="29"/>
        </w:rPr>
        <w:t>上涨1.13</w:t>
      </w:r>
      <w:r w:rsidRPr="009E4467">
        <w:rPr>
          <w:rFonts w:ascii="等线" w:eastAsia="等线" w:hAnsi="等线" w:hint="eastAsia"/>
          <w:color w:val="000000"/>
          <w:sz w:val="29"/>
          <w:szCs w:val="29"/>
        </w:rPr>
        <w:t>%。</w:t>
      </w:r>
    </w:p>
    <w:p w:rsidR="00C53BCE" w:rsidRPr="009E4467" w:rsidRDefault="00C53BCE" w:rsidP="00C53BCE">
      <w:pPr>
        <w:pStyle w:val="a6"/>
        <w:tabs>
          <w:tab w:val="left" w:pos="5104"/>
        </w:tabs>
        <w:spacing w:before="225" w:beforeAutospacing="0" w:after="0" w:afterAutospacing="0"/>
        <w:ind w:firstLine="480"/>
        <w:rPr>
          <w:rFonts w:asciiTheme="minorEastAsia" w:eastAsiaTheme="minorEastAsia" w:hAnsiTheme="minorEastAsia"/>
          <w:b/>
          <w:color w:val="000000"/>
          <w:sz w:val="28"/>
          <w:szCs w:val="28"/>
        </w:rPr>
      </w:pPr>
      <w:r w:rsidRPr="009E4467">
        <w:rPr>
          <w:rFonts w:asciiTheme="minorEastAsia" w:eastAsiaTheme="minorEastAsia" w:hAnsiTheme="minorEastAsia" w:hint="eastAsia"/>
          <w:b/>
          <w:color w:val="000000"/>
          <w:sz w:val="28"/>
          <w:szCs w:val="28"/>
        </w:rPr>
        <w:t>2、主要上游原材料情况：</w:t>
      </w:r>
      <w:r w:rsidRPr="009E4467">
        <w:rPr>
          <w:rFonts w:asciiTheme="minorEastAsia" w:eastAsiaTheme="minorEastAsia" w:hAnsiTheme="minorEastAsia"/>
          <w:b/>
          <w:color w:val="000000"/>
          <w:sz w:val="28"/>
          <w:szCs w:val="28"/>
        </w:rPr>
        <w:tab/>
      </w:r>
    </w:p>
    <w:p w:rsidR="00C53BCE" w:rsidRPr="009E4467" w:rsidRDefault="00C53BCE" w:rsidP="00C53BCE">
      <w:pPr>
        <w:pStyle w:val="a6"/>
        <w:spacing w:before="225" w:beforeAutospacing="0" w:after="0" w:afterAutospacing="0"/>
        <w:ind w:firstLine="480"/>
        <w:rPr>
          <w:rFonts w:ascii="等线" w:eastAsia="等线" w:hAnsi="等线"/>
          <w:color w:val="000000"/>
          <w:sz w:val="29"/>
          <w:szCs w:val="29"/>
        </w:rPr>
      </w:pPr>
      <w:r w:rsidRPr="009E4467">
        <w:rPr>
          <w:rFonts w:ascii="等线" w:eastAsia="等线" w:hAnsi="等线"/>
          <w:b/>
          <w:color w:val="000000"/>
          <w:sz w:val="29"/>
          <w:szCs w:val="29"/>
        </w:rPr>
        <w:t>乙烯</w:t>
      </w:r>
      <w:r w:rsidRPr="009E4467">
        <w:rPr>
          <w:rFonts w:ascii="等线" w:eastAsia="等线" w:hAnsi="等线" w:hint="eastAsia"/>
          <w:b/>
          <w:color w:val="000000"/>
          <w:sz w:val="29"/>
          <w:szCs w:val="29"/>
        </w:rPr>
        <w:t>：</w:t>
      </w:r>
      <w:r w:rsidRPr="009E4467">
        <w:rPr>
          <w:rFonts w:ascii="等线" w:eastAsia="等线" w:hAnsi="等线" w:hint="eastAsia"/>
          <w:color w:val="000000"/>
          <w:sz w:val="29"/>
          <w:szCs w:val="29"/>
        </w:rPr>
        <w:t>乙烯CFR东北亚均价</w:t>
      </w:r>
      <w:r w:rsidR="00712AD5">
        <w:rPr>
          <w:rFonts w:ascii="等线" w:eastAsia="等线" w:hAnsi="等线" w:hint="eastAsia"/>
          <w:color w:val="000000"/>
          <w:sz w:val="29"/>
          <w:szCs w:val="29"/>
        </w:rPr>
        <w:t>940</w:t>
      </w:r>
      <w:r w:rsidRPr="009E4467">
        <w:rPr>
          <w:rFonts w:ascii="等线" w:eastAsia="等线" w:hAnsi="等线" w:hint="eastAsia"/>
          <w:color w:val="000000"/>
          <w:sz w:val="29"/>
          <w:szCs w:val="29"/>
        </w:rPr>
        <w:t>美元/吨；CFR东南亚均价</w:t>
      </w:r>
      <w:r w:rsidR="00712AD5">
        <w:rPr>
          <w:rFonts w:ascii="等线" w:eastAsia="等线" w:hAnsi="等线" w:hint="eastAsia"/>
          <w:color w:val="000000"/>
          <w:sz w:val="29"/>
          <w:szCs w:val="29"/>
        </w:rPr>
        <w:t>950</w:t>
      </w:r>
      <w:r w:rsidRPr="009E4467">
        <w:rPr>
          <w:rFonts w:ascii="等线" w:eastAsia="等线" w:hAnsi="等线" w:hint="eastAsia"/>
          <w:color w:val="000000"/>
          <w:sz w:val="29"/>
          <w:szCs w:val="29"/>
        </w:rPr>
        <w:t>美元/吨。</w:t>
      </w:r>
    </w:p>
    <w:p w:rsidR="00C53BCE" w:rsidRPr="009E4467" w:rsidRDefault="00C53BCE" w:rsidP="00C53BCE">
      <w:pPr>
        <w:rPr>
          <w:rFonts w:ascii="等线" w:eastAsia="等线" w:hAnsi="等线" w:cs="宋体"/>
          <w:color w:val="000000"/>
          <w:kern w:val="0"/>
          <w:sz w:val="29"/>
          <w:szCs w:val="29"/>
        </w:rPr>
      </w:pPr>
      <w:r w:rsidRPr="009E4467">
        <w:rPr>
          <w:rFonts w:ascii="等线" w:eastAsia="等线" w:hAnsi="等线" w:hint="eastAsia"/>
          <w:b/>
          <w:color w:val="000000"/>
          <w:sz w:val="29"/>
          <w:szCs w:val="29"/>
        </w:rPr>
        <w:tab/>
        <w:t>电石：</w:t>
      </w:r>
      <w:r w:rsidRPr="009E4467">
        <w:rPr>
          <w:rFonts w:ascii="等线" w:eastAsia="等线" w:hAnsi="等线" w:cs="宋体"/>
          <w:color w:val="000000"/>
          <w:kern w:val="0"/>
          <w:sz w:val="29"/>
          <w:szCs w:val="29"/>
        </w:rPr>
        <w:t>国内</w:t>
      </w:r>
      <w:hyperlink r:id="rId11" w:tgtFrame="_blank" w:history="1">
        <w:r w:rsidRPr="009E4467">
          <w:rPr>
            <w:rFonts w:ascii="等线" w:eastAsia="等线" w:hAnsi="等线" w:cs="宋体"/>
            <w:color w:val="000000"/>
            <w:kern w:val="0"/>
            <w:sz w:val="29"/>
            <w:szCs w:val="29"/>
          </w:rPr>
          <w:t>电石市场</w:t>
        </w:r>
      </w:hyperlink>
      <w:r w:rsidRPr="009E4467">
        <w:rPr>
          <w:rFonts w:ascii="等线" w:eastAsia="等线" w:hAnsi="等线" w:cs="宋体" w:hint="eastAsia"/>
          <w:color w:val="000000"/>
          <w:kern w:val="0"/>
          <w:sz w:val="29"/>
          <w:szCs w:val="29"/>
        </w:rPr>
        <w:t>价格较上一日持平，</w:t>
      </w:r>
      <w:r w:rsidRPr="009E4467">
        <w:rPr>
          <w:rFonts w:ascii="等线" w:eastAsia="等线" w:hAnsi="等线" w:cs="宋体"/>
          <w:color w:val="000000"/>
          <w:kern w:val="0"/>
          <w:sz w:val="29"/>
          <w:szCs w:val="29"/>
        </w:rPr>
        <w:t>西北地区到货价</w:t>
      </w:r>
      <w:r w:rsidR="00712AD5">
        <w:rPr>
          <w:rFonts w:ascii="等线" w:eastAsia="等线" w:hAnsi="等线" w:cs="宋体" w:hint="eastAsia"/>
          <w:color w:val="000000"/>
          <w:kern w:val="0"/>
          <w:sz w:val="29"/>
          <w:szCs w:val="29"/>
        </w:rPr>
        <w:t>3610</w:t>
      </w:r>
      <w:r w:rsidRPr="009E4467">
        <w:rPr>
          <w:rFonts w:ascii="等线" w:eastAsia="等线" w:hAnsi="等线" w:cs="宋体" w:hint="eastAsia"/>
          <w:color w:val="000000"/>
          <w:kern w:val="0"/>
          <w:sz w:val="29"/>
          <w:szCs w:val="29"/>
        </w:rPr>
        <w:t>元/吨</w:t>
      </w:r>
      <w:r w:rsidRPr="009E4467">
        <w:rPr>
          <w:rFonts w:ascii="等线" w:eastAsia="等线" w:hAnsi="等线" w:cs="宋体"/>
          <w:color w:val="000000"/>
          <w:kern w:val="0"/>
          <w:sz w:val="29"/>
          <w:szCs w:val="29"/>
        </w:rPr>
        <w:t>。</w:t>
      </w:r>
    </w:p>
    <w:p w:rsidR="00C53BCE" w:rsidRPr="009E4467" w:rsidRDefault="00C53BCE" w:rsidP="00C53BCE">
      <w:pPr>
        <w:rPr>
          <w:rFonts w:ascii="等线" w:eastAsia="等线" w:hAnsi="等线" w:cs="宋体"/>
          <w:color w:val="000000"/>
          <w:kern w:val="0"/>
          <w:sz w:val="29"/>
          <w:szCs w:val="29"/>
        </w:rPr>
      </w:pPr>
      <w:r w:rsidRPr="009E4467">
        <w:rPr>
          <w:rFonts w:ascii="等线" w:eastAsia="等线" w:hAnsi="等线" w:cs="宋体" w:hint="eastAsia"/>
          <w:color w:val="000000"/>
          <w:kern w:val="0"/>
          <w:sz w:val="29"/>
          <w:szCs w:val="29"/>
        </w:rPr>
        <w:tab/>
      </w:r>
      <w:r w:rsidRPr="009E4467">
        <w:rPr>
          <w:rFonts w:ascii="等线" w:eastAsia="等线" w:hAnsi="等线" w:hint="eastAsia"/>
          <w:b/>
          <w:color w:val="000000"/>
          <w:sz w:val="29"/>
          <w:szCs w:val="29"/>
        </w:rPr>
        <w:t>3</w:t>
      </w:r>
      <w:r w:rsidRPr="009E4467">
        <w:rPr>
          <w:rFonts w:ascii="等线" w:eastAsia="等线" w:hAnsi="等线" w:hint="eastAsia"/>
          <w:b/>
          <w:bCs/>
          <w:sz w:val="29"/>
          <w:szCs w:val="29"/>
        </w:rPr>
        <w:t>、今日关注：</w:t>
      </w:r>
    </w:p>
    <w:p w:rsidR="00C53BCE" w:rsidRPr="005218A1" w:rsidRDefault="00C53BCE" w:rsidP="00C53BCE">
      <w:pPr>
        <w:rPr>
          <w:rFonts w:asciiTheme="minorEastAsia" w:hAnsiTheme="minorEastAsia" w:cs="宋体"/>
          <w:color w:val="000000" w:themeColor="text1"/>
          <w:kern w:val="0"/>
          <w:sz w:val="28"/>
          <w:szCs w:val="28"/>
        </w:rPr>
      </w:pPr>
      <w:r w:rsidRPr="00F6491E">
        <w:rPr>
          <w:rFonts w:asciiTheme="minorEastAsia" w:hAnsiTheme="minorEastAsia" w:cs="宋体" w:hint="eastAsia"/>
          <w:color w:val="000000" w:themeColor="text1"/>
          <w:kern w:val="0"/>
          <w:sz w:val="28"/>
          <w:szCs w:val="28"/>
        </w:rPr>
        <w:tab/>
        <w:t>1、</w:t>
      </w:r>
      <w:r w:rsidR="00BC50D1">
        <w:rPr>
          <w:rFonts w:asciiTheme="minorEastAsia" w:hAnsiTheme="minorEastAsia" w:cs="宋体" w:hint="eastAsia"/>
          <w:color w:val="000000" w:themeColor="text1"/>
          <w:kern w:val="0"/>
          <w:sz w:val="28"/>
          <w:szCs w:val="28"/>
        </w:rPr>
        <w:t>尽管美联储加息可能会对需求产生抑制作用，但中国经济前景想好推升原油需求预期，抵消市场利空情绪。隔夜国际油价出现反弹，内盘原油</w:t>
      </w:r>
      <w:proofErr w:type="gramStart"/>
      <w:r w:rsidR="00BC50D1">
        <w:rPr>
          <w:rFonts w:asciiTheme="minorEastAsia" w:hAnsiTheme="minorEastAsia" w:cs="宋体" w:hint="eastAsia"/>
          <w:color w:val="000000" w:themeColor="text1"/>
          <w:kern w:val="0"/>
          <w:sz w:val="28"/>
          <w:szCs w:val="28"/>
        </w:rPr>
        <w:t>系整体</w:t>
      </w:r>
      <w:proofErr w:type="gramEnd"/>
      <w:r w:rsidR="00BC50D1">
        <w:rPr>
          <w:rFonts w:asciiTheme="minorEastAsia" w:hAnsiTheme="minorEastAsia" w:cs="宋体" w:hint="eastAsia"/>
          <w:color w:val="000000" w:themeColor="text1"/>
          <w:kern w:val="0"/>
          <w:sz w:val="28"/>
          <w:szCs w:val="28"/>
        </w:rPr>
        <w:t>心态回暖。周三原油</w:t>
      </w:r>
      <w:proofErr w:type="gramStart"/>
      <w:r w:rsidR="00BC50D1">
        <w:rPr>
          <w:rFonts w:asciiTheme="minorEastAsia" w:hAnsiTheme="minorEastAsia" w:cs="宋体" w:hint="eastAsia"/>
          <w:color w:val="000000" w:themeColor="text1"/>
          <w:kern w:val="0"/>
          <w:sz w:val="28"/>
          <w:szCs w:val="28"/>
        </w:rPr>
        <w:t>系情绪</w:t>
      </w:r>
      <w:proofErr w:type="gramEnd"/>
      <w:r w:rsidR="00BC50D1">
        <w:rPr>
          <w:rFonts w:asciiTheme="minorEastAsia" w:hAnsiTheme="minorEastAsia" w:cs="宋体" w:hint="eastAsia"/>
          <w:color w:val="000000" w:themeColor="text1"/>
          <w:kern w:val="0"/>
          <w:sz w:val="28"/>
          <w:szCs w:val="28"/>
        </w:rPr>
        <w:t>持续修复，SC原油主力合约大幅上探2.20%，报收557.6元。</w:t>
      </w:r>
    </w:p>
    <w:p w:rsidR="00BC50D1" w:rsidRDefault="004D3EA2" w:rsidP="00BC50D1">
      <w:pPr>
        <w:spacing w:line="360" w:lineRule="auto"/>
        <w:rPr>
          <w:rFonts w:asciiTheme="minorEastAsia" w:hAnsiTheme="minorEastAsia" w:cs="宋体" w:hint="eastAsia"/>
          <w:bCs/>
          <w:color w:val="000000" w:themeColor="text1"/>
          <w:kern w:val="0"/>
          <w:sz w:val="28"/>
          <w:szCs w:val="28"/>
        </w:rPr>
      </w:pPr>
      <w:r w:rsidRPr="00BC50D1">
        <w:rPr>
          <w:rFonts w:asciiTheme="minorEastAsia" w:hAnsiTheme="minorEastAsia" w:cs="宋体" w:hint="eastAsia"/>
          <w:color w:val="000000" w:themeColor="text1"/>
          <w:kern w:val="0"/>
          <w:sz w:val="28"/>
          <w:szCs w:val="28"/>
        </w:rPr>
        <w:tab/>
        <w:t>2、</w:t>
      </w:r>
      <w:r w:rsidR="00BC50D1" w:rsidRPr="00BC50D1">
        <w:rPr>
          <w:rFonts w:asciiTheme="minorEastAsia" w:hAnsiTheme="minorEastAsia" w:cs="宋体" w:hint="eastAsia"/>
          <w:bCs/>
          <w:color w:val="000000" w:themeColor="text1"/>
          <w:kern w:val="0"/>
          <w:sz w:val="28"/>
          <w:szCs w:val="28"/>
        </w:rPr>
        <w:t>克而瑞：2月楼市成交同环比涨幅超4成，金三小阳春或可期，克而</w:t>
      </w:r>
      <w:proofErr w:type="gramStart"/>
      <w:r w:rsidR="00BC50D1" w:rsidRPr="00BC50D1">
        <w:rPr>
          <w:rFonts w:asciiTheme="minorEastAsia" w:hAnsiTheme="minorEastAsia" w:cs="宋体" w:hint="eastAsia"/>
          <w:bCs/>
          <w:color w:val="000000" w:themeColor="text1"/>
          <w:kern w:val="0"/>
          <w:sz w:val="28"/>
          <w:szCs w:val="28"/>
        </w:rPr>
        <w:t>瑞数据</w:t>
      </w:r>
      <w:proofErr w:type="gramEnd"/>
      <w:r w:rsidR="00BC50D1" w:rsidRPr="00BC50D1">
        <w:rPr>
          <w:rFonts w:asciiTheme="minorEastAsia" w:hAnsiTheme="minorEastAsia" w:cs="宋体" w:hint="eastAsia"/>
          <w:bCs/>
          <w:color w:val="000000" w:themeColor="text1"/>
          <w:kern w:val="0"/>
          <w:sz w:val="28"/>
          <w:szCs w:val="28"/>
        </w:rPr>
        <w:t>显示，2月整体市场延续稳步修复行情，重点30</w:t>
      </w:r>
      <w:proofErr w:type="gramStart"/>
      <w:r w:rsidR="00BC50D1" w:rsidRPr="00BC50D1">
        <w:rPr>
          <w:rFonts w:asciiTheme="minorEastAsia" w:hAnsiTheme="minorEastAsia" w:cs="宋体" w:hint="eastAsia"/>
          <w:bCs/>
          <w:color w:val="000000" w:themeColor="text1"/>
          <w:kern w:val="0"/>
          <w:sz w:val="28"/>
          <w:szCs w:val="28"/>
        </w:rPr>
        <w:t>城供应</w:t>
      </w:r>
      <w:proofErr w:type="gramEnd"/>
      <w:r w:rsidR="00BC50D1" w:rsidRPr="00BC50D1">
        <w:rPr>
          <w:rFonts w:asciiTheme="minorEastAsia" w:hAnsiTheme="minorEastAsia" w:cs="宋体" w:hint="eastAsia"/>
          <w:bCs/>
          <w:color w:val="000000" w:themeColor="text1"/>
          <w:kern w:val="0"/>
          <w:sz w:val="28"/>
          <w:szCs w:val="28"/>
        </w:rPr>
        <w:t>低位回升，环比微增7%；成交则强势反弹，同环比涨幅均超4成，</w:t>
      </w:r>
      <w:r w:rsidR="00BC50D1" w:rsidRPr="00BC50D1">
        <w:rPr>
          <w:rFonts w:asciiTheme="minorEastAsia" w:hAnsiTheme="minorEastAsia" w:cs="宋体" w:hint="eastAsia"/>
          <w:bCs/>
          <w:color w:val="000000" w:themeColor="text1"/>
          <w:kern w:val="0"/>
          <w:sz w:val="28"/>
          <w:szCs w:val="28"/>
        </w:rPr>
        <w:lastRenderedPageBreak/>
        <w:t>整体成交规模与去年12月基本持平，</w:t>
      </w:r>
      <w:proofErr w:type="gramStart"/>
      <w:r w:rsidR="00BC50D1" w:rsidRPr="00BC50D1">
        <w:rPr>
          <w:rFonts w:asciiTheme="minorEastAsia" w:hAnsiTheme="minorEastAsia" w:cs="宋体" w:hint="eastAsia"/>
          <w:bCs/>
          <w:color w:val="000000" w:themeColor="text1"/>
          <w:kern w:val="0"/>
          <w:sz w:val="28"/>
          <w:szCs w:val="28"/>
        </w:rPr>
        <w:t>前2月</w:t>
      </w:r>
      <w:proofErr w:type="gramEnd"/>
      <w:r w:rsidR="00BC50D1" w:rsidRPr="00BC50D1">
        <w:rPr>
          <w:rFonts w:asciiTheme="minorEastAsia" w:hAnsiTheme="minorEastAsia" w:cs="宋体" w:hint="eastAsia"/>
          <w:bCs/>
          <w:color w:val="000000" w:themeColor="text1"/>
          <w:kern w:val="0"/>
          <w:sz w:val="28"/>
          <w:szCs w:val="28"/>
        </w:rPr>
        <w:t>累计成交已止跌，市场回升苗头初显。分区域来看，长三角热度延续，上海、杭州依托改善需求保持“热点恒热”，南京、苏州、宁波、常州等热度稳步回升。大湾</w:t>
      </w:r>
      <w:proofErr w:type="gramStart"/>
      <w:r w:rsidR="00BC50D1" w:rsidRPr="00BC50D1">
        <w:rPr>
          <w:rFonts w:asciiTheme="minorEastAsia" w:hAnsiTheme="minorEastAsia" w:cs="宋体" w:hint="eastAsia"/>
          <w:bCs/>
          <w:color w:val="000000" w:themeColor="text1"/>
          <w:kern w:val="0"/>
          <w:sz w:val="28"/>
          <w:szCs w:val="28"/>
        </w:rPr>
        <w:t>区成交</w:t>
      </w:r>
      <w:proofErr w:type="gramEnd"/>
      <w:r w:rsidR="00BC50D1" w:rsidRPr="00BC50D1">
        <w:rPr>
          <w:rFonts w:asciiTheme="minorEastAsia" w:hAnsiTheme="minorEastAsia" w:cs="宋体" w:hint="eastAsia"/>
          <w:bCs/>
          <w:color w:val="000000" w:themeColor="text1"/>
          <w:kern w:val="0"/>
          <w:sz w:val="28"/>
          <w:szCs w:val="28"/>
        </w:rPr>
        <w:t>触底反弹，广深佛</w:t>
      </w:r>
      <w:proofErr w:type="gramStart"/>
      <w:r w:rsidR="00BC50D1" w:rsidRPr="00BC50D1">
        <w:rPr>
          <w:rFonts w:asciiTheme="minorEastAsia" w:hAnsiTheme="minorEastAsia" w:cs="宋体" w:hint="eastAsia"/>
          <w:bCs/>
          <w:color w:val="000000" w:themeColor="text1"/>
          <w:kern w:val="0"/>
          <w:sz w:val="28"/>
          <w:szCs w:val="28"/>
        </w:rPr>
        <w:t>莞</w:t>
      </w:r>
      <w:proofErr w:type="gramEnd"/>
      <w:r w:rsidR="00BC50D1" w:rsidRPr="00BC50D1">
        <w:rPr>
          <w:rFonts w:asciiTheme="minorEastAsia" w:hAnsiTheme="minorEastAsia" w:cs="宋体" w:hint="eastAsia"/>
          <w:bCs/>
          <w:color w:val="000000" w:themeColor="text1"/>
          <w:kern w:val="0"/>
          <w:sz w:val="28"/>
          <w:szCs w:val="28"/>
        </w:rPr>
        <w:t>等重点城市成交环比涨幅均超5成。环渤海地区成交稳中有增，天津、青岛、济南等迎来普涨行情。中西部地区全线飘红，重庆、长沙、郑州等成交环比翻番。</w:t>
      </w:r>
    </w:p>
    <w:p w:rsidR="00BC50D1" w:rsidRPr="00BC50D1" w:rsidRDefault="00BC50D1" w:rsidP="00BC50D1">
      <w:pPr>
        <w:spacing w:line="360" w:lineRule="auto"/>
        <w:rPr>
          <w:rFonts w:asciiTheme="minorEastAsia" w:hAnsiTheme="minorEastAsia" w:cs="宋体"/>
          <w:color w:val="000000" w:themeColor="text1"/>
          <w:kern w:val="0"/>
          <w:sz w:val="28"/>
          <w:szCs w:val="28"/>
        </w:rPr>
      </w:pPr>
      <w:r w:rsidRPr="00BC50D1">
        <w:rPr>
          <w:rFonts w:asciiTheme="minorEastAsia" w:hAnsiTheme="minorEastAsia" w:cs="宋体" w:hint="eastAsia"/>
          <w:bCs/>
          <w:color w:val="000000" w:themeColor="text1"/>
          <w:kern w:val="0"/>
          <w:sz w:val="28"/>
          <w:szCs w:val="28"/>
        </w:rPr>
        <w:tab/>
      </w:r>
      <w:r w:rsidRPr="00BC50D1">
        <w:rPr>
          <w:rFonts w:asciiTheme="minorEastAsia" w:hAnsiTheme="minorEastAsia" w:cs="宋体" w:hint="eastAsia"/>
          <w:color w:val="000000" w:themeColor="text1"/>
          <w:kern w:val="0"/>
          <w:sz w:val="28"/>
          <w:szCs w:val="28"/>
        </w:rPr>
        <w:t>3、国家统计局：中国2月制造业PMI升至52.6%，国家统计局数据显示，2月份，制造业采购经理指数（PMI）为52.6%，比上月上升2.5个百分点，高于临界点，制造业景气水平继续上升。2月份，制造业采购经理指数（PMI）为52.6%，比上月上升2.5个百分点，高于临界点，制造业景气水平继续上升。</w:t>
      </w:r>
    </w:p>
    <w:p w:rsidR="00BC50D1" w:rsidRPr="00BC50D1" w:rsidRDefault="00BC50D1" w:rsidP="00BC50D1">
      <w:pPr>
        <w:spacing w:line="360" w:lineRule="auto"/>
        <w:rPr>
          <w:rFonts w:asciiTheme="minorEastAsia" w:hAnsiTheme="minorEastAsia" w:cs="宋体"/>
          <w:color w:val="000000" w:themeColor="text1"/>
          <w:kern w:val="0"/>
          <w:sz w:val="28"/>
          <w:szCs w:val="28"/>
        </w:rPr>
      </w:pPr>
      <w:r w:rsidRPr="00BC50D1">
        <w:rPr>
          <w:rFonts w:asciiTheme="minorEastAsia" w:hAnsiTheme="minorEastAsia" w:cs="宋体" w:hint="eastAsia"/>
          <w:color w:val="000000" w:themeColor="text1"/>
          <w:kern w:val="0"/>
          <w:sz w:val="28"/>
          <w:szCs w:val="28"/>
        </w:rPr>
        <w:tab/>
      </w:r>
      <w:r w:rsidRPr="00BC50D1">
        <w:rPr>
          <w:rFonts w:asciiTheme="minorEastAsia" w:hAnsiTheme="minorEastAsia" w:cs="宋体" w:hint="eastAsia"/>
          <w:bCs/>
          <w:color w:val="000000" w:themeColor="text1"/>
          <w:kern w:val="0"/>
          <w:sz w:val="28"/>
          <w:szCs w:val="28"/>
        </w:rPr>
        <w:t>4、2月财新中国制造业PMI录得51.6 2022年8月来首次升至扩张区间，今日公布的2月财新中国制造业采购经理指数（PMI）录得51.6，较1月上升2.4个百分点，2022年8月来首次高于临界点，为2022年7月来最高。</w:t>
      </w:r>
    </w:p>
    <w:p w:rsidR="00C53BCE" w:rsidRPr="009E4467" w:rsidRDefault="00C53BCE" w:rsidP="00BC50D1">
      <w:pPr>
        <w:spacing w:line="360" w:lineRule="auto"/>
        <w:rPr>
          <w:rFonts w:ascii="等线" w:eastAsia="等线" w:hAnsi="等线"/>
          <w:b/>
          <w:color w:val="000000"/>
          <w:sz w:val="29"/>
          <w:szCs w:val="29"/>
        </w:rPr>
      </w:pPr>
      <w:r w:rsidRPr="009E4467">
        <w:rPr>
          <w:rFonts w:ascii="等线" w:eastAsia="等线" w:hAnsi="等线" w:hint="eastAsia"/>
          <w:b/>
          <w:sz w:val="29"/>
          <w:szCs w:val="29"/>
        </w:rPr>
        <w:t>4、收盘评论：</w:t>
      </w:r>
    </w:p>
    <w:p w:rsidR="00712AD5" w:rsidRPr="00C93E8A" w:rsidRDefault="00BC50D1" w:rsidP="00C93E8A">
      <w:pPr>
        <w:spacing w:line="360" w:lineRule="auto"/>
        <w:rPr>
          <w:rFonts w:ascii="微软雅黑" w:eastAsia="微软雅黑" w:hAnsi="微软雅黑"/>
          <w:noProof/>
          <w:sz w:val="24"/>
          <w:szCs w:val="24"/>
        </w:rPr>
      </w:pPr>
      <w:r>
        <w:rPr>
          <w:rFonts w:asciiTheme="minorEastAsia" w:hAnsiTheme="minorEastAsia" w:hint="eastAsia"/>
          <w:color w:val="000000" w:themeColor="text1"/>
          <w:sz w:val="28"/>
          <w:szCs w:val="28"/>
        </w:rPr>
        <w:tab/>
      </w:r>
      <w:r w:rsidR="00C53BCE" w:rsidRPr="009E4467">
        <w:rPr>
          <w:rFonts w:asciiTheme="minorEastAsia" w:hAnsiTheme="minorEastAsia" w:hint="eastAsia"/>
          <w:color w:val="000000" w:themeColor="text1"/>
          <w:sz w:val="28"/>
          <w:szCs w:val="28"/>
        </w:rPr>
        <w:t>今日</w:t>
      </w:r>
      <w:r w:rsidR="00C53BCE" w:rsidRPr="009E4467">
        <w:rPr>
          <w:rFonts w:asciiTheme="minorEastAsia" w:hAnsiTheme="minorEastAsia"/>
          <w:color w:val="000000" w:themeColor="text1"/>
          <w:sz w:val="28"/>
          <w:szCs w:val="28"/>
        </w:rPr>
        <w:t>PVC主力合约</w:t>
      </w:r>
      <w:r w:rsidR="006608A4">
        <w:rPr>
          <w:rFonts w:asciiTheme="minorEastAsia" w:hAnsiTheme="minorEastAsia" w:hint="eastAsia"/>
          <w:color w:val="000000" w:themeColor="text1"/>
          <w:sz w:val="28"/>
          <w:szCs w:val="28"/>
        </w:rPr>
        <w:t>震荡</w:t>
      </w:r>
      <w:proofErr w:type="gramStart"/>
      <w:r w:rsidR="001842E1">
        <w:rPr>
          <w:rFonts w:asciiTheme="minorEastAsia" w:hAnsiTheme="minorEastAsia" w:hint="eastAsia"/>
          <w:color w:val="000000" w:themeColor="text1"/>
          <w:sz w:val="28"/>
          <w:szCs w:val="28"/>
        </w:rPr>
        <w:t>上行收</w:t>
      </w:r>
      <w:proofErr w:type="gramEnd"/>
      <w:r w:rsidR="001842E1">
        <w:rPr>
          <w:rFonts w:asciiTheme="minorEastAsia" w:hAnsiTheme="minorEastAsia" w:hint="eastAsia"/>
          <w:color w:val="000000" w:themeColor="text1"/>
          <w:sz w:val="28"/>
          <w:szCs w:val="28"/>
        </w:rPr>
        <w:t>涨0.47</w:t>
      </w:r>
      <w:r w:rsidR="00C53BCE">
        <w:rPr>
          <w:rFonts w:asciiTheme="minorEastAsia" w:hAnsiTheme="minorEastAsia" w:hint="eastAsia"/>
          <w:color w:val="000000" w:themeColor="text1"/>
          <w:sz w:val="28"/>
          <w:szCs w:val="28"/>
        </w:rPr>
        <w:t>%，</w:t>
      </w:r>
      <w:r w:rsidR="00C53BCE" w:rsidRPr="009E4467">
        <w:rPr>
          <w:rFonts w:asciiTheme="minorEastAsia" w:hAnsiTheme="minorEastAsia" w:hint="eastAsia"/>
          <w:color w:val="000000" w:themeColor="text1"/>
          <w:sz w:val="28"/>
          <w:szCs w:val="28"/>
        </w:rPr>
        <w:t>收盘至</w:t>
      </w:r>
      <w:r w:rsidR="003A3E5E">
        <w:rPr>
          <w:rFonts w:asciiTheme="minorEastAsia" w:hAnsiTheme="minorEastAsia" w:hint="eastAsia"/>
          <w:color w:val="000000" w:themeColor="text1"/>
          <w:sz w:val="28"/>
          <w:szCs w:val="28"/>
        </w:rPr>
        <w:t>6</w:t>
      </w:r>
      <w:r w:rsidR="001842E1">
        <w:rPr>
          <w:rFonts w:asciiTheme="minorEastAsia" w:hAnsiTheme="minorEastAsia" w:hint="eastAsia"/>
          <w:color w:val="000000" w:themeColor="text1"/>
          <w:sz w:val="28"/>
          <w:szCs w:val="28"/>
        </w:rPr>
        <w:t>398</w:t>
      </w:r>
      <w:r w:rsidR="00C53BCE" w:rsidRPr="009E4467">
        <w:rPr>
          <w:rFonts w:asciiTheme="minorEastAsia" w:hAnsiTheme="minorEastAsia" w:hint="eastAsia"/>
          <w:color w:val="000000" w:themeColor="text1"/>
          <w:sz w:val="28"/>
          <w:szCs w:val="28"/>
        </w:rPr>
        <w:t>元/吨</w:t>
      </w:r>
      <w:r w:rsidR="00C53BCE">
        <w:rPr>
          <w:rFonts w:asciiTheme="minorEastAsia" w:hAnsiTheme="minorEastAsia" w:hint="eastAsia"/>
          <w:color w:val="000000" w:themeColor="text1"/>
          <w:sz w:val="28"/>
          <w:szCs w:val="28"/>
        </w:rPr>
        <w:t>。</w:t>
      </w:r>
      <w:r w:rsidR="001842E1">
        <w:rPr>
          <w:rFonts w:asciiTheme="minorEastAsia" w:hAnsiTheme="minorEastAsia" w:hint="eastAsia"/>
          <w:color w:val="000000" w:themeColor="text1"/>
          <w:sz w:val="28"/>
          <w:szCs w:val="28"/>
        </w:rPr>
        <w:t>今日化工板块偏暖运性，日内塑化链全线震荡反弹</w:t>
      </w:r>
      <w:r w:rsidR="00C93E8A">
        <w:rPr>
          <w:rFonts w:asciiTheme="minorEastAsia" w:hAnsiTheme="minorEastAsia" w:hint="eastAsia"/>
          <w:color w:val="000000" w:themeColor="text1"/>
          <w:sz w:val="28"/>
          <w:szCs w:val="28"/>
        </w:rPr>
        <w:t>。</w:t>
      </w:r>
      <w:r w:rsidR="001751E2">
        <w:rPr>
          <w:rFonts w:asciiTheme="minorEastAsia" w:hAnsiTheme="minorEastAsia" w:hint="eastAsia"/>
          <w:color w:val="000000" w:themeColor="text1"/>
          <w:sz w:val="28"/>
          <w:szCs w:val="28"/>
        </w:rPr>
        <w:t>2月以来，化工市场买气清淡，指数重心</w:t>
      </w:r>
      <w:r w:rsidR="00C84A2F">
        <w:rPr>
          <w:rFonts w:asciiTheme="minorEastAsia" w:hAnsiTheme="minorEastAsia" w:hint="eastAsia"/>
          <w:color w:val="000000" w:themeColor="text1"/>
          <w:sz w:val="28"/>
          <w:szCs w:val="28"/>
        </w:rPr>
        <w:t>连续下滑，塑化链承压跟随调整</w:t>
      </w:r>
      <w:r w:rsidR="001751E2">
        <w:rPr>
          <w:rFonts w:asciiTheme="minorEastAsia" w:hAnsiTheme="minorEastAsia" w:hint="eastAsia"/>
          <w:color w:val="000000" w:themeColor="text1"/>
          <w:sz w:val="28"/>
          <w:szCs w:val="28"/>
        </w:rPr>
        <w:t>。</w:t>
      </w:r>
      <w:r w:rsidR="001842E1">
        <w:rPr>
          <w:rFonts w:asciiTheme="minorEastAsia" w:hAnsiTheme="minorEastAsia" w:hint="eastAsia"/>
          <w:color w:val="000000" w:themeColor="text1"/>
          <w:sz w:val="28"/>
          <w:szCs w:val="28"/>
        </w:rPr>
        <w:t>3月国内PMI数据表现利多大宗市场，加之油价反弹，带动塑化</w:t>
      </w:r>
      <w:proofErr w:type="gramStart"/>
      <w:r w:rsidR="001842E1">
        <w:rPr>
          <w:rFonts w:asciiTheme="minorEastAsia" w:hAnsiTheme="minorEastAsia" w:hint="eastAsia"/>
          <w:color w:val="000000" w:themeColor="text1"/>
          <w:sz w:val="28"/>
          <w:szCs w:val="28"/>
        </w:rPr>
        <w:t>链全面</w:t>
      </w:r>
      <w:proofErr w:type="gramEnd"/>
      <w:r w:rsidR="001842E1">
        <w:rPr>
          <w:rFonts w:asciiTheme="minorEastAsia" w:hAnsiTheme="minorEastAsia" w:hint="eastAsia"/>
          <w:color w:val="000000" w:themeColor="text1"/>
          <w:sz w:val="28"/>
          <w:szCs w:val="28"/>
        </w:rPr>
        <w:t>拉升。</w:t>
      </w:r>
      <w:r w:rsidR="00712AD5">
        <w:rPr>
          <w:rFonts w:asciiTheme="minorEastAsia" w:hAnsiTheme="minorEastAsia" w:hint="eastAsia"/>
          <w:color w:val="000000" w:themeColor="text1"/>
          <w:sz w:val="28"/>
          <w:szCs w:val="28"/>
        </w:rPr>
        <w:t>当前随着PVC需求</w:t>
      </w:r>
      <w:r w:rsidR="00712AD5" w:rsidRPr="00C93E8A">
        <w:rPr>
          <w:rFonts w:asciiTheme="minorEastAsia" w:hAnsiTheme="minorEastAsia" w:hint="eastAsia"/>
          <w:color w:val="000000" w:themeColor="text1"/>
          <w:sz w:val="28"/>
          <w:szCs w:val="28"/>
        </w:rPr>
        <w:t>端有所恢复，PVC基本</w:t>
      </w:r>
      <w:proofErr w:type="gramStart"/>
      <w:r w:rsidR="00712AD5" w:rsidRPr="00C93E8A">
        <w:rPr>
          <w:rFonts w:asciiTheme="minorEastAsia" w:hAnsiTheme="minorEastAsia" w:hint="eastAsia"/>
          <w:color w:val="000000" w:themeColor="text1"/>
          <w:sz w:val="28"/>
          <w:szCs w:val="28"/>
        </w:rPr>
        <w:t>面整体</w:t>
      </w:r>
      <w:proofErr w:type="gramEnd"/>
      <w:r w:rsidR="00712AD5" w:rsidRPr="00C93E8A">
        <w:rPr>
          <w:rFonts w:asciiTheme="minorEastAsia" w:hAnsiTheme="minorEastAsia" w:hint="eastAsia"/>
          <w:color w:val="000000" w:themeColor="text1"/>
          <w:sz w:val="28"/>
          <w:szCs w:val="28"/>
        </w:rPr>
        <w:t>得到改善。</w:t>
      </w:r>
      <w:r w:rsidR="00DC0290" w:rsidRPr="00C93E8A">
        <w:rPr>
          <w:rFonts w:asciiTheme="minorEastAsia" w:hAnsiTheme="minorEastAsia" w:hint="eastAsia"/>
          <w:color w:val="000000" w:themeColor="text1"/>
          <w:sz w:val="28"/>
          <w:szCs w:val="28"/>
        </w:rPr>
        <w:t>PVC</w:t>
      </w:r>
      <w:r w:rsidR="003032CB" w:rsidRPr="00C93E8A">
        <w:rPr>
          <w:rFonts w:asciiTheme="minorEastAsia" w:hAnsiTheme="minorEastAsia" w:hint="eastAsia"/>
          <w:color w:val="000000" w:themeColor="text1"/>
          <w:sz w:val="28"/>
          <w:szCs w:val="28"/>
        </w:rPr>
        <w:t>供应相对宽松，</w:t>
      </w:r>
      <w:r w:rsidR="00712AD5" w:rsidRPr="00C93E8A">
        <w:rPr>
          <w:rFonts w:asciiTheme="minorEastAsia" w:hAnsiTheme="minorEastAsia" w:hint="eastAsia"/>
          <w:color w:val="000000" w:themeColor="text1"/>
          <w:sz w:val="28"/>
          <w:szCs w:val="28"/>
        </w:rPr>
        <w:t>供应小幅提升，</w:t>
      </w:r>
      <w:r w:rsidR="00C93E8A" w:rsidRPr="00C93E8A">
        <w:rPr>
          <w:rFonts w:asciiTheme="minorEastAsia" w:hAnsiTheme="minorEastAsia" w:hint="eastAsia"/>
          <w:color w:val="000000" w:themeColor="text1"/>
          <w:sz w:val="28"/>
          <w:szCs w:val="28"/>
        </w:rPr>
        <w:t>截至2月24日，PVC生产企业开工率环比</w:t>
      </w:r>
      <w:r w:rsidR="00C93E8A" w:rsidRPr="00C93E8A">
        <w:rPr>
          <w:rFonts w:asciiTheme="minorEastAsia" w:hAnsiTheme="minorEastAsia" w:hint="eastAsia"/>
          <w:color w:val="000000" w:themeColor="text1"/>
          <w:sz w:val="28"/>
          <w:szCs w:val="28"/>
        </w:rPr>
        <w:lastRenderedPageBreak/>
        <w:t>增加1.05%至78.59%，其中电石法环比增1.06%在78.13%，同比减少3.84%，乙烯法环以增加1.02%在80.25%，同比增加4.61%。生产企业检修陆续结束，市场供应量回升。</w:t>
      </w:r>
      <w:r w:rsidR="003032CB">
        <w:rPr>
          <w:rFonts w:asciiTheme="minorEastAsia" w:hAnsiTheme="minorEastAsia" w:hint="eastAsia"/>
          <w:color w:val="000000" w:themeColor="text1"/>
          <w:sz w:val="28"/>
          <w:szCs w:val="28"/>
        </w:rPr>
        <w:t>库存方面，周内PVC社会库存小幅去</w:t>
      </w:r>
      <w:r w:rsidR="003032CB" w:rsidRPr="001842E1">
        <w:rPr>
          <w:rFonts w:asciiTheme="minorEastAsia" w:hAnsiTheme="minorEastAsia" w:hint="eastAsia"/>
          <w:color w:val="000000" w:themeColor="text1"/>
          <w:sz w:val="28"/>
          <w:szCs w:val="28"/>
        </w:rPr>
        <w:t>化</w:t>
      </w:r>
      <w:r w:rsidR="001842E1" w:rsidRPr="001842E1">
        <w:rPr>
          <w:rFonts w:asciiTheme="minorEastAsia" w:hAnsiTheme="minorEastAsia" w:hint="eastAsia"/>
          <w:color w:val="000000" w:themeColor="text1"/>
          <w:sz w:val="28"/>
          <w:szCs w:val="28"/>
        </w:rPr>
        <w:t>，</w:t>
      </w:r>
      <w:r w:rsidR="001842E1" w:rsidRPr="001842E1">
        <w:rPr>
          <w:rFonts w:asciiTheme="minorEastAsia" w:hAnsiTheme="minorEastAsia" w:hint="eastAsia"/>
          <w:bCs/>
          <w:color w:val="000000" w:themeColor="text1"/>
          <w:sz w:val="28"/>
          <w:szCs w:val="28"/>
        </w:rPr>
        <w:t>截至2月26日，PVC社会库存环比增加0.93%，截至2月26日，国内PVC社会库存在52.05万吨，环比增加0.93%，同比增加28.27%，其中华东地区在37.25万吨，环比增加0.76%，同比增加16.12%；华南地区在14.8万吨，环比增加1.37%，同比增加74.12%。整体来看，PVC社会仓库库存量小幅增加，环比增加0.93%</w:t>
      </w:r>
      <w:r w:rsidR="003032CB" w:rsidRPr="001842E1">
        <w:rPr>
          <w:rFonts w:asciiTheme="minorEastAsia" w:hAnsiTheme="minorEastAsia" w:hint="eastAsia"/>
          <w:color w:val="000000" w:themeColor="text1"/>
          <w:sz w:val="28"/>
          <w:szCs w:val="28"/>
        </w:rPr>
        <w:t>。</w:t>
      </w:r>
      <w:r w:rsidR="00712AD5">
        <w:rPr>
          <w:rFonts w:asciiTheme="minorEastAsia" w:hAnsiTheme="minorEastAsia" w:hint="eastAsia"/>
          <w:color w:val="000000" w:themeColor="text1"/>
          <w:sz w:val="28"/>
          <w:szCs w:val="28"/>
        </w:rPr>
        <w:t>需求</w:t>
      </w:r>
      <w:proofErr w:type="gramStart"/>
      <w:r w:rsidR="00712AD5">
        <w:rPr>
          <w:rFonts w:asciiTheme="minorEastAsia" w:hAnsiTheme="minorEastAsia" w:hint="eastAsia"/>
          <w:color w:val="000000" w:themeColor="text1"/>
          <w:sz w:val="28"/>
          <w:szCs w:val="28"/>
        </w:rPr>
        <w:t>端表现</w:t>
      </w:r>
      <w:proofErr w:type="gramEnd"/>
      <w:r w:rsidR="00712AD5">
        <w:rPr>
          <w:rFonts w:asciiTheme="minorEastAsia" w:hAnsiTheme="minorEastAsia" w:hint="eastAsia"/>
          <w:color w:val="000000" w:themeColor="text1"/>
          <w:sz w:val="28"/>
          <w:szCs w:val="28"/>
        </w:rPr>
        <w:t>有所好转</w:t>
      </w:r>
      <w:r w:rsidR="00C84A2F">
        <w:rPr>
          <w:rFonts w:asciiTheme="minorEastAsia" w:hAnsiTheme="minorEastAsia" w:hint="eastAsia"/>
          <w:color w:val="000000" w:themeColor="text1"/>
          <w:sz w:val="28"/>
          <w:szCs w:val="28"/>
        </w:rPr>
        <w:t>，</w:t>
      </w:r>
      <w:r w:rsidR="00712AD5">
        <w:rPr>
          <w:rFonts w:asciiTheme="minorEastAsia" w:hAnsiTheme="minorEastAsia" w:hint="eastAsia"/>
          <w:color w:val="000000" w:themeColor="text1"/>
          <w:sz w:val="28"/>
          <w:szCs w:val="28"/>
        </w:rPr>
        <w:t>下游接单转好，逢低拿货较为积极，终端工地开工率大幅提升</w:t>
      </w:r>
      <w:bookmarkEnd w:id="0"/>
      <w:bookmarkEnd w:id="1"/>
      <w:r w:rsidR="00712AD5">
        <w:rPr>
          <w:rFonts w:asciiTheme="minorEastAsia" w:hAnsiTheme="minorEastAsia" w:hint="eastAsia"/>
          <w:color w:val="000000" w:themeColor="text1"/>
          <w:sz w:val="28"/>
          <w:szCs w:val="28"/>
        </w:rPr>
        <w:t>。此外国内经济预期向好，市场对于后市房地产复苏持乐观态度，近期工业品市场氛围偏暖，对PVC价格起到提振作用。</w:t>
      </w:r>
    </w:p>
    <w:p w:rsidR="00031B5D" w:rsidRDefault="004977E6" w:rsidP="00C53BCE">
      <w:pPr>
        <w:pStyle w:val="a6"/>
        <w:spacing w:before="0" w:beforeAutospacing="0" w:after="0" w:afterAutospacing="0"/>
        <w:ind w:firstLine="480"/>
        <w:rPr>
          <w:rFonts w:asciiTheme="minorEastAsia" w:eastAsiaTheme="minorEastAsia" w:hAnsiTheme="minorEastAsia"/>
          <w:color w:val="000000" w:themeColor="text1"/>
          <w:sz w:val="28"/>
          <w:szCs w:val="28"/>
        </w:rPr>
      </w:pPr>
      <w:r>
        <w:rPr>
          <w:rStyle w:val="a8"/>
          <w:rFonts w:ascii="Microsoft YaHei UI" w:eastAsia="Microsoft YaHei UI" w:hAnsi="Microsoft YaHei UI" w:hint="eastAsia"/>
          <w:color w:val="000000"/>
          <w:spacing w:val="8"/>
          <w:sz w:val="29"/>
          <w:szCs w:val="29"/>
          <w:shd w:val="clear" w:color="auto" w:fill="FFFFFF"/>
        </w:rPr>
        <w:t>相关基本面数据汇总：</w:t>
      </w:r>
    </w:p>
    <w:p w:rsidR="004977E6" w:rsidRPr="00031B5D" w:rsidRDefault="004977E6" w:rsidP="00C53BCE">
      <w:pPr>
        <w:pStyle w:val="a6"/>
        <w:spacing w:before="0" w:beforeAutospacing="0" w:after="0" w:afterAutospacing="0"/>
        <w:ind w:firstLine="480"/>
        <w:rPr>
          <w:rFonts w:asciiTheme="minorHAnsi" w:eastAsiaTheme="minorEastAsia" w:hAnsiTheme="minorHAnsi" w:cstheme="minorBidi"/>
          <w:b/>
          <w:bCs/>
          <w:kern w:val="2"/>
          <w:sz w:val="28"/>
          <w:szCs w:val="28"/>
        </w:rPr>
      </w:pPr>
      <w:r w:rsidRPr="004977E6">
        <w:rPr>
          <w:rFonts w:asciiTheme="minorHAnsi" w:eastAsiaTheme="minorEastAsia" w:hAnsiTheme="minorHAnsi" w:cstheme="minorBidi" w:hint="eastAsia"/>
          <w:b/>
          <w:bCs/>
          <w:kern w:val="2"/>
          <w:sz w:val="28"/>
          <w:szCs w:val="28"/>
        </w:rPr>
        <w:t>1、PVC活跃合约收盘价</w:t>
      </w:r>
    </w:p>
    <w:p w:rsidR="00270FAC" w:rsidRDefault="001842E1">
      <w:pPr>
        <w:rPr>
          <w:b/>
          <w:bCs/>
          <w:sz w:val="28"/>
          <w:szCs w:val="28"/>
        </w:rPr>
      </w:pPr>
      <w:bookmarkStart w:id="2" w:name="_GoBack"/>
      <w:r>
        <w:rPr>
          <w:noProof/>
        </w:rPr>
        <w:drawing>
          <wp:inline distT="0" distB="0" distL="0" distR="0" wp14:anchorId="35A1B87A" wp14:editId="18968690">
            <wp:extent cx="5278120" cy="2962834"/>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278120" cy="2962834"/>
                    </a:xfrm>
                    <a:prstGeom prst="rect">
                      <a:avLst/>
                    </a:prstGeom>
                  </pic:spPr>
                </pic:pic>
              </a:graphicData>
            </a:graphic>
          </wp:inline>
        </w:drawing>
      </w:r>
      <w:bookmarkEnd w:id="2"/>
    </w:p>
    <w:p w:rsidR="00DC6B7F" w:rsidRPr="00712AD5" w:rsidRDefault="00270FAC">
      <w:pPr>
        <w:rPr>
          <w:b/>
          <w:sz w:val="36"/>
          <w:szCs w:val="36"/>
        </w:rPr>
      </w:pPr>
      <w:r>
        <w:rPr>
          <w:rFonts w:hint="eastAsia"/>
          <w:b/>
          <w:bCs/>
          <w:sz w:val="28"/>
          <w:szCs w:val="28"/>
        </w:rPr>
        <w:lastRenderedPageBreak/>
        <w:t>2、PVC社会库存情况</w:t>
      </w:r>
      <w:r w:rsidR="00712AD5">
        <w:rPr>
          <w:noProof/>
        </w:rPr>
        <w:drawing>
          <wp:inline distT="0" distB="0" distL="0" distR="0" wp14:anchorId="228282B0" wp14:editId="3716BBB9">
            <wp:extent cx="5278120" cy="2880363"/>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278120" cy="2880363"/>
                    </a:xfrm>
                    <a:prstGeom prst="rect">
                      <a:avLst/>
                    </a:prstGeom>
                  </pic:spPr>
                </pic:pic>
              </a:graphicData>
            </a:graphic>
          </wp:inline>
        </w:drawing>
      </w:r>
    </w:p>
    <w:p w:rsidR="00DC6B7F" w:rsidRDefault="004C2E22">
      <w:pPr>
        <w:rPr>
          <w:b/>
          <w:bCs/>
          <w:sz w:val="28"/>
          <w:szCs w:val="28"/>
        </w:rPr>
      </w:pPr>
      <w:r>
        <w:rPr>
          <w:rFonts w:hint="eastAsia"/>
          <w:b/>
          <w:bCs/>
          <w:sz w:val="28"/>
          <w:szCs w:val="28"/>
        </w:rPr>
        <w:t>3、PVC</w:t>
      </w:r>
      <w:proofErr w:type="gramStart"/>
      <w:r>
        <w:rPr>
          <w:rFonts w:hint="eastAsia"/>
          <w:b/>
          <w:bCs/>
          <w:sz w:val="28"/>
          <w:szCs w:val="28"/>
        </w:rPr>
        <w:t>基差走势</w:t>
      </w:r>
      <w:proofErr w:type="gramEnd"/>
      <w:r>
        <w:rPr>
          <w:rFonts w:hint="eastAsia"/>
          <w:b/>
          <w:bCs/>
          <w:sz w:val="28"/>
          <w:szCs w:val="28"/>
        </w:rPr>
        <w:t>图</w:t>
      </w:r>
    </w:p>
    <w:p w:rsidR="00DC6B7F" w:rsidRPr="00AD72E8" w:rsidRDefault="00AB22B8">
      <w:pPr>
        <w:rPr>
          <w:b/>
        </w:rPr>
      </w:pPr>
      <w:r>
        <w:rPr>
          <w:noProof/>
        </w:rPr>
        <w:drawing>
          <wp:inline distT="0" distB="0" distL="0" distR="0">
            <wp:extent cx="5278120" cy="2963176"/>
            <wp:effectExtent l="0" t="0" r="0" b="8890"/>
            <wp:docPr id="30" name="图片 30" descr="https://mmbiz.qpic.cn/mmbiz_png/iaHWBFKxSazZmqMQ3sxDSFs1gMKneq7FSZ6UBCI1lg2KbrzKd1CicpzDkibYrR91BdMibcLMicUzBZic3OhNGapqouGw/640?wx_fm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mbiz.qpic.cn/mmbiz_png/iaHWBFKxSazZmqMQ3sxDSFs1gMKneq7FSZ6UBCI1lg2KbrzKd1CicpzDkibYrR91BdMibcLMicUzBZic3OhNGapqouGw/640?wx_fmt=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8120" cy="2963176"/>
                    </a:xfrm>
                    <a:prstGeom prst="rect">
                      <a:avLst/>
                    </a:prstGeom>
                    <a:noFill/>
                    <a:ln>
                      <a:noFill/>
                    </a:ln>
                  </pic:spPr>
                </pic:pic>
              </a:graphicData>
            </a:graphic>
          </wp:inline>
        </w:drawing>
      </w:r>
    </w:p>
    <w:p w:rsidR="00DC6B7F" w:rsidRPr="00315582" w:rsidRDefault="004C2E22">
      <w:pPr>
        <w:rPr>
          <w:b/>
        </w:rPr>
      </w:pPr>
      <w:r w:rsidRPr="00315582">
        <w:rPr>
          <w:rFonts w:hint="eastAsia"/>
          <w:b/>
          <w:bCs/>
          <w:sz w:val="28"/>
          <w:szCs w:val="28"/>
        </w:rPr>
        <w:t>4、国内主要市场（华东地区）市场价格走势图</w:t>
      </w:r>
    </w:p>
    <w:p w:rsidR="003B1497" w:rsidRDefault="00712AD5">
      <w:pPr>
        <w:rPr>
          <w:b/>
          <w:bCs/>
          <w:sz w:val="28"/>
          <w:szCs w:val="28"/>
        </w:rPr>
      </w:pPr>
      <w:r>
        <w:rPr>
          <w:noProof/>
        </w:rPr>
        <w:lastRenderedPageBreak/>
        <w:drawing>
          <wp:inline distT="0" distB="0" distL="0" distR="0" wp14:anchorId="4BBF8C6F" wp14:editId="713DCD98">
            <wp:extent cx="5278120" cy="2962834"/>
            <wp:effectExtent l="0" t="0" r="0" b="952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278120" cy="2962834"/>
                    </a:xfrm>
                    <a:prstGeom prst="rect">
                      <a:avLst/>
                    </a:prstGeom>
                  </pic:spPr>
                </pic:pic>
              </a:graphicData>
            </a:graphic>
          </wp:inline>
        </w:drawing>
      </w:r>
    </w:p>
    <w:p w:rsidR="00207704" w:rsidRDefault="004C2E22">
      <w:pPr>
        <w:rPr>
          <w:b/>
          <w:bCs/>
          <w:sz w:val="28"/>
          <w:szCs w:val="28"/>
        </w:rPr>
      </w:pPr>
      <w:r>
        <w:rPr>
          <w:rFonts w:hint="eastAsia"/>
          <w:b/>
          <w:bCs/>
          <w:sz w:val="28"/>
          <w:szCs w:val="28"/>
        </w:rPr>
        <w:t>5、PVC生产企业开工率</w:t>
      </w:r>
      <w:r w:rsidR="00712AD5">
        <w:rPr>
          <w:noProof/>
        </w:rPr>
        <w:drawing>
          <wp:inline distT="0" distB="0" distL="0" distR="0" wp14:anchorId="614F0BB4" wp14:editId="5C04D0F6">
            <wp:extent cx="5278120" cy="2408753"/>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278120" cy="2408753"/>
                    </a:xfrm>
                    <a:prstGeom prst="rect">
                      <a:avLst/>
                    </a:prstGeom>
                  </pic:spPr>
                </pic:pic>
              </a:graphicData>
            </a:graphic>
          </wp:inline>
        </w:drawing>
      </w:r>
    </w:p>
    <w:p w:rsidR="008421B3" w:rsidRDefault="008421B3">
      <w:pPr>
        <w:rPr>
          <w:b/>
          <w:bCs/>
          <w:sz w:val="28"/>
          <w:szCs w:val="28"/>
        </w:rPr>
      </w:pPr>
      <w:r>
        <w:rPr>
          <w:b/>
          <w:bCs/>
          <w:noProof/>
          <w:sz w:val="28"/>
          <w:szCs w:val="28"/>
        </w:rPr>
        <w:drawing>
          <wp:inline distT="0" distB="0" distL="0" distR="0">
            <wp:extent cx="3217762" cy="1775401"/>
            <wp:effectExtent l="0" t="0" r="190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f5137966136d9fcd72878ac8e1a81.png"/>
                    <pic:cNvPicPr/>
                  </pic:nvPicPr>
                  <pic:blipFill>
                    <a:blip r:embed="rId17">
                      <a:extLst>
                        <a:ext uri="{28A0092B-C50C-407E-A947-70E740481C1C}">
                          <a14:useLocalDpi xmlns:a14="http://schemas.microsoft.com/office/drawing/2010/main" val="0"/>
                        </a:ext>
                      </a:extLst>
                    </a:blip>
                    <a:stretch>
                      <a:fillRect/>
                    </a:stretch>
                  </pic:blipFill>
                  <pic:spPr>
                    <a:xfrm>
                      <a:off x="0" y="0"/>
                      <a:ext cx="3219569" cy="1776398"/>
                    </a:xfrm>
                    <a:prstGeom prst="rect">
                      <a:avLst/>
                    </a:prstGeom>
                  </pic:spPr>
                </pic:pic>
              </a:graphicData>
            </a:graphic>
          </wp:inline>
        </w:drawing>
      </w:r>
    </w:p>
    <w:p w:rsidR="00205BB7" w:rsidRDefault="00205BB7">
      <w:pPr>
        <w:rPr>
          <w:b/>
          <w:bCs/>
          <w:sz w:val="28"/>
          <w:szCs w:val="28"/>
        </w:rPr>
      </w:pPr>
    </w:p>
    <w:p w:rsidR="00205BB7" w:rsidRDefault="00205BB7">
      <w:pPr>
        <w:rPr>
          <w:b/>
          <w:bCs/>
          <w:sz w:val="28"/>
          <w:szCs w:val="28"/>
        </w:rPr>
      </w:pPr>
    </w:p>
    <w:p w:rsidR="00205BB7" w:rsidRPr="008421B3" w:rsidRDefault="00205BB7">
      <w:pPr>
        <w:rPr>
          <w:b/>
          <w:bCs/>
          <w:sz w:val="28"/>
          <w:szCs w:val="28"/>
        </w:rPr>
      </w:pPr>
    </w:p>
    <w:p w:rsidR="00DC6B7F" w:rsidRDefault="00B1400A" w:rsidP="00B1400A">
      <w:pPr>
        <w:spacing w:line="360" w:lineRule="auto"/>
        <w:rPr>
          <w:rFonts w:ascii="宋体" w:eastAsia="宋体" w:hAnsi="宋体"/>
          <w:b/>
          <w:bCs/>
          <w:szCs w:val="21"/>
        </w:rPr>
      </w:pPr>
      <w:r>
        <w:rPr>
          <w:rFonts w:ascii="宋体" w:eastAsia="宋体" w:hAnsi="宋体"/>
          <w:b/>
          <w:bCs/>
          <w:noProof/>
          <w:szCs w:val="21"/>
        </w:rPr>
        <mc:AlternateContent>
          <mc:Choice Requires="wps">
            <w:drawing>
              <wp:anchor distT="0" distB="0" distL="114300" distR="114300" simplePos="0" relativeHeight="251661312" behindDoc="0" locked="0" layoutInCell="1" allowOverlap="1" wp14:anchorId="5ACC52D2" wp14:editId="6B9223D8">
                <wp:simplePos x="0" y="0"/>
                <wp:positionH relativeFrom="column">
                  <wp:posOffset>-140970</wp:posOffset>
                </wp:positionH>
                <wp:positionV relativeFrom="paragraph">
                  <wp:posOffset>287655</wp:posOffset>
                </wp:positionV>
                <wp:extent cx="5760085" cy="450215"/>
                <wp:effectExtent l="0" t="0" r="0" b="6985"/>
                <wp:wrapNone/>
                <wp:docPr id="8" name="矩形 8"/>
                <wp:cNvGraphicFramePr/>
                <a:graphic xmlns:a="http://schemas.openxmlformats.org/drawingml/2006/main">
                  <a:graphicData uri="http://schemas.microsoft.com/office/word/2010/wordprocessingShape">
                    <wps:wsp>
                      <wps:cNvSpPr/>
                      <wps:spPr>
                        <a:xfrm>
                          <a:off x="0" y="0"/>
                          <a:ext cx="5760085" cy="450215"/>
                        </a:xfrm>
                        <a:prstGeom prst="rect">
                          <a:avLst/>
                        </a:prstGeom>
                        <a:solidFill>
                          <a:srgbClr val="C2AD14"/>
                        </a:solidFill>
                        <a:ln w="12700" cap="flat" cmpd="sng" algn="ctr">
                          <a:noFill/>
                          <a:prstDash val="solid"/>
                          <a:miter lim="800000"/>
                        </a:ln>
                        <a:effectLst/>
                      </wps:spPr>
                      <wps:txbx>
                        <w:txbxContent>
                          <w:p w:rsidR="00DC6B7F" w:rsidRDefault="004C2E22">
                            <w:pPr>
                              <w:pStyle w:val="aa"/>
                              <w:rPr>
                                <w:rFonts w:ascii="微软雅黑" w:eastAsia="微软雅黑" w:hAnsi="微软雅黑"/>
                                <w:b/>
                                <w:color w:val="FFFFFF" w:themeColor="background1"/>
                                <w:sz w:val="32"/>
                                <w:szCs w:val="32"/>
                              </w:rPr>
                            </w:pPr>
                            <w:r w:rsidRPr="0018232E">
                              <w:rPr>
                                <w:rFonts w:ascii="黑体" w:eastAsia="黑体" w:hAnsi="黑体" w:hint="eastAsia"/>
                                <w:b/>
                                <w:color w:val="FFFFFF" w:themeColor="background1"/>
                                <w:sz w:val="32"/>
                                <w:szCs w:val="32"/>
                              </w:rPr>
                              <w:t>免责条款：</w:t>
                            </w:r>
                            <w:r w:rsidR="00AD72E8">
                              <w:rPr>
                                <w:noProof/>
                              </w:rPr>
                              <w:drawing>
                                <wp:inline distT="0" distB="0" distL="0" distR="0" wp14:anchorId="0CC46A7A" wp14:editId="6635769A">
                                  <wp:extent cx="5486400" cy="220345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486400" cy="22034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8" o:spid="_x0000_s1026" style="position:absolute;margin-left:-11.1pt;margin-top:22.65pt;width:453.55pt;height:35.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" fillcolor="#c2ad14" stroked="f" strokeweight="1pt">
                <v:textbox>
                  <w:txbxContent>
                    <w:p w:rsidR="00DC6B7F" w:rsidRDefault="004C2E22">
                      <w:pPr>
                        <w:pStyle w:val="aa"/>
                        <w:rPr>
                          <w:rFonts w:ascii="微软雅黑" w:eastAsia="微软雅黑" w:hAnsi="微软雅黑"/>
                          <w:b/>
                          <w:color w:val="FFFFFF" w:themeColor="background1"/>
                          <w:sz w:val="32"/>
                          <w:szCs w:val="32"/>
                        </w:rPr>
                      </w:pPr>
                      <w:r w:rsidRPr="0018232E">
                        <w:rPr>
                          <w:rFonts w:ascii="黑体" w:eastAsia="黑体" w:hAnsi="黑体" w:hint="eastAsia"/>
                          <w:b/>
                          <w:color w:val="FFFFFF" w:themeColor="background1"/>
                          <w:sz w:val="32"/>
                          <w:szCs w:val="32"/>
                        </w:rPr>
                        <w:t>免责条款：</w:t>
                      </w:r>
                      <w:r w:rsidR="00AD72E8">
                        <w:rPr>
                          <w:noProof/>
                        </w:rPr>
                        <w:drawing>
                          <wp:inline distT="0" distB="0" distL="0" distR="0" wp14:anchorId="0CC46A7A" wp14:editId="6635769A">
                            <wp:extent cx="5486400" cy="220345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486400" cy="2203450"/>
                                    </a:xfrm>
                                    <a:prstGeom prst="rect">
                                      <a:avLst/>
                                    </a:prstGeom>
                                  </pic:spPr>
                                </pic:pic>
                              </a:graphicData>
                            </a:graphic>
                          </wp:inline>
                        </w:drawing>
                      </w:r>
                    </w:p>
                  </w:txbxContent>
                </v:textbox>
              </v:rect>
            </w:pict>
          </mc:Fallback>
        </mc:AlternateContent>
      </w:r>
      <w:r w:rsidRPr="00B31698">
        <w:rPr>
          <w:rFonts w:ascii="黑体" w:eastAsia="黑体" w:hAnsi="黑体" w:hint="eastAsia"/>
          <w:szCs w:val="21"/>
        </w:rPr>
        <w:t>钱龙 期货从业资格号：</w:t>
      </w:r>
      <w:r>
        <w:rPr>
          <w:rFonts w:ascii="黑体" w:eastAsia="黑体" w:hAnsi="黑体" w:hint="eastAsia"/>
          <w:szCs w:val="21"/>
        </w:rPr>
        <w:t>F3077614</w:t>
      </w:r>
      <w:r w:rsidRPr="00B31698">
        <w:rPr>
          <w:rFonts w:ascii="黑体" w:eastAsia="黑体" w:hAnsi="黑体" w:hint="eastAsia"/>
          <w:szCs w:val="21"/>
        </w:rPr>
        <w:t>；</w:t>
      </w:r>
      <w:r w:rsidRPr="00B31698">
        <w:rPr>
          <w:rFonts w:ascii="黑体" w:eastAsia="黑体" w:hAnsi="黑体"/>
          <w:szCs w:val="21"/>
        </w:rPr>
        <w:t>投资咨询证书号</w:t>
      </w:r>
      <w:r w:rsidRPr="00B31698">
        <w:rPr>
          <w:rFonts w:ascii="黑体" w:eastAsia="黑体" w:hAnsi="黑体" w:hint="eastAsia"/>
          <w:szCs w:val="21"/>
        </w:rPr>
        <w:t>：Z</w:t>
      </w:r>
      <w:r w:rsidRPr="00B31698">
        <w:rPr>
          <w:rFonts w:ascii="黑体" w:eastAsia="黑体" w:hAnsi="黑体"/>
          <w:szCs w:val="21"/>
        </w:rPr>
        <w:t>001</w:t>
      </w:r>
      <w:r>
        <w:rPr>
          <w:rFonts w:ascii="黑体" w:eastAsia="黑体" w:hAnsi="黑体" w:hint="eastAsia"/>
          <w:szCs w:val="21"/>
        </w:rPr>
        <w:t>7608</w:t>
      </w:r>
      <w:r w:rsidRPr="00B31698">
        <w:rPr>
          <w:rFonts w:ascii="黑体" w:eastAsia="黑体" w:hAnsi="黑体" w:hint="eastAsia"/>
          <w:szCs w:val="21"/>
        </w:rPr>
        <w:t xml:space="preserve"> </w:t>
      </w:r>
    </w:p>
    <w:p w:rsidR="00DC6B7F" w:rsidRDefault="004C2E22">
      <w:pPr>
        <w:tabs>
          <w:tab w:val="center" w:pos="4153"/>
        </w:tabs>
        <w:spacing w:line="360" w:lineRule="auto"/>
        <w:rPr>
          <w:rFonts w:ascii="宋体" w:eastAsia="宋体" w:hAnsi="宋体"/>
          <w:b/>
          <w:bCs/>
          <w:szCs w:val="21"/>
        </w:rPr>
      </w:pPr>
      <w:r>
        <w:rPr>
          <w:rFonts w:ascii="宋体" w:eastAsia="宋体" w:hAnsi="宋体"/>
          <w:b/>
          <w:bCs/>
          <w:szCs w:val="21"/>
        </w:rPr>
        <w:tab/>
      </w:r>
    </w:p>
    <w:p w:rsidR="00DC6B7F" w:rsidRDefault="004C2E22">
      <w:pPr>
        <w:spacing w:line="360" w:lineRule="auto"/>
        <w:rPr>
          <w:rFonts w:ascii="宋体" w:eastAsia="宋体" w:hAnsi="宋体"/>
          <w:b/>
          <w:bCs/>
          <w:szCs w:val="21"/>
        </w:rPr>
      </w:pPr>
      <w:r>
        <w:rPr>
          <w:rFonts w:ascii="宋体" w:eastAsia="宋体" w:hAnsi="宋体"/>
          <w:b/>
          <w:bCs/>
          <w:noProof/>
          <w:color w:val="595959" w:themeColor="text1" w:themeTint="A6"/>
          <w:sz w:val="32"/>
          <w:szCs w:val="32"/>
        </w:rPr>
        <mc:AlternateContent>
          <mc:Choice Requires="wps">
            <w:drawing>
              <wp:anchor distT="0" distB="0" distL="114300" distR="114300" simplePos="0" relativeHeight="251660288" behindDoc="0" locked="0" layoutInCell="1" allowOverlap="1">
                <wp:simplePos x="0" y="0"/>
                <wp:positionH relativeFrom="column">
                  <wp:posOffset>-134620</wp:posOffset>
                </wp:positionH>
                <wp:positionV relativeFrom="paragraph">
                  <wp:posOffset>63500</wp:posOffset>
                </wp:positionV>
                <wp:extent cx="5760085" cy="2879725"/>
                <wp:effectExtent l="8255" t="7620" r="13335" b="8255"/>
                <wp:wrapNone/>
                <wp:docPr id="7" name="文本框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85" cy="2879725"/>
                        </a:xfrm>
                        <a:prstGeom prst="rect">
                          <a:avLst/>
                        </a:prstGeom>
                        <a:solidFill>
                          <a:sysClr val="window" lastClr="FFFFFF">
                            <a:lumMod val="100000"/>
                            <a:lumOff val="0"/>
                          </a:sysClr>
                        </a:solidFill>
                        <a:ln w="9525">
                          <a:solidFill>
                            <a:sysClr val="windowText" lastClr="000000">
                              <a:lumMod val="100000"/>
                              <a:lumOff val="0"/>
                            </a:sysClr>
                          </a:solidFill>
                          <a:miter lim="800000"/>
                        </a:ln>
                      </wps:spPr>
                      <wps:txbx>
                        <w:txbxContent>
                          <w:p w:rsidR="00DC6B7F" w:rsidRDefault="004C2E22">
                            <w:pPr>
                              <w:pStyle w:val="aa"/>
                              <w:ind w:firstLineChars="200" w:firstLine="480"/>
                              <w:rPr>
                                <w:rFonts w:ascii="黑体" w:eastAsia="黑体" w:hAnsi="黑体"/>
                                <w:sz w:val="24"/>
                                <w:szCs w:val="24"/>
                              </w:rPr>
                            </w:pPr>
                            <w:r>
                              <w:rPr>
                                <w:rFonts w:ascii="黑体" w:eastAsia="黑体" w:hAnsi="黑体" w:hint="eastAsia"/>
                                <w:sz w:val="24"/>
                                <w:szCs w:val="24"/>
                              </w:rPr>
                              <w:t>本报告中的信息均来源于已公开的资料，尽管我们相信报告中资料来源的可靠性，但我公司对这些信息的准确性及完整性不作任何保证。也不保证我公司所做出的意见和建议不会发生任何的变更，在任何情况下，我公司报告中的信息和所表达的意见和建议以及所载的数据、工具及材料均不能作为您所进行期货买卖的绝对依据。由于报告在编写时融入了该分析师个人的观点和见解以及分析方法，如与金石期货公司发布的其他信息有不一致及有不同的结论，未免发生疑问，本报告所载的观点并不代表了金石期货公司的立场，所以请谨慎参考。我公司不承担因根据本报告所进行期货买卖操作而导致的任何形式的损失。</w:t>
                            </w:r>
                          </w:p>
                          <w:p w:rsidR="00DC6B7F" w:rsidRDefault="004C2E22">
                            <w:pPr>
                              <w:pStyle w:val="aa"/>
                              <w:rPr>
                                <w:rFonts w:ascii="黑体" w:eastAsia="黑体" w:hAnsi="黑体"/>
                                <w:sz w:val="24"/>
                                <w:szCs w:val="24"/>
                              </w:rPr>
                            </w:pPr>
                            <w:r>
                              <w:rPr>
                                <w:rFonts w:ascii="黑体" w:eastAsia="黑体" w:hAnsi="黑体" w:hint="eastAsia"/>
                                <w:sz w:val="24"/>
                                <w:szCs w:val="24"/>
                              </w:rPr>
                              <w:t xml:space="preserve">    另外，本报告所载资料、意见及推测只是反映金石期货公司在本报告所载明的日期的判断，可随时修改，毋需提前通知。未经金石期货公司允许批准，本报告内容不得以任何范式传送、复印或派发此报告的材料、内容或复印本予以任何其他人，或投入商业使用。如遵循原文本意的引用、刊发，需注明出处“金石期货有限公司”，并保留我公司的一切权利。</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7" type="#_x0000_t202" style="position:absolute;margin-left:-10.6pt;margin-top:5pt;width:453.55pt;height:226.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">
                <v:textbox>
                  <w:txbxContent>
                    <w:p w:rsidR="00DC6B7F" w:rsidRDefault="004C2E22">
                      <w:pPr>
                        <w:pStyle w:val="aa"/>
                        <w:ind w:firstLineChars="200" w:firstLine="480"/>
                        <w:rPr>
                          <w:rFonts w:ascii="黑体" w:eastAsia="黑体" w:hAnsi="黑体"/>
                          <w:sz w:val="24"/>
                          <w:szCs w:val="24"/>
                        </w:rPr>
                      </w:pPr>
                      <w:r>
                        <w:rPr>
                          <w:rFonts w:ascii="黑体" w:eastAsia="黑体" w:hAnsi="黑体" w:hint="eastAsia"/>
                          <w:sz w:val="24"/>
                          <w:szCs w:val="24"/>
                        </w:rPr>
                        <w:t>本报告中的信息均来源于已公开的资料，尽管我们相信报告中资料来源的可靠性，但我公司对这些信息的准确性及完整性不作任何保证。也不保证我公司所做出的意见和建议不会发生任何的变更，在任何情况下，我公司报告中的信息和所表达的意见和建议以及所载的数据、工具及材料均不能作为您所进行期货买卖的绝对依据。由于报告在编写时融入了该分析师个人的观点和见解以及分析方法，如与金石期货公司发布的其他信息有不一致及有不同的结论，未免发生疑问，本报告所载的观点并不代表了金石期货公司的立场，所以请谨慎参考。我公司不承担因根据本报告所进行期货买卖操作而导致的任何形式的损失。</w:t>
                      </w:r>
                    </w:p>
                    <w:p w:rsidR="00DC6B7F" w:rsidRDefault="004C2E22">
                      <w:pPr>
                        <w:pStyle w:val="aa"/>
                        <w:rPr>
                          <w:rFonts w:ascii="黑体" w:eastAsia="黑体" w:hAnsi="黑体"/>
                          <w:sz w:val="24"/>
                          <w:szCs w:val="24"/>
                        </w:rPr>
                      </w:pPr>
                      <w:r>
                        <w:rPr>
                          <w:rFonts w:ascii="黑体" w:eastAsia="黑体" w:hAnsi="黑体" w:hint="eastAsia"/>
                          <w:sz w:val="24"/>
                          <w:szCs w:val="24"/>
                        </w:rPr>
                        <w:t xml:space="preserve">    另外，本报告所载资料、意见及推测只是反映金石期货公司在本报告所载明的日期的判断，可随时修改，毋需提前通知。未经金石期货公司允许批准，本报告内容不得以任何范式传送、复印或派发此报告的材料、内容或复印本予以任何其他人，或投入商业使用。如遵循原文本意的引用、刊发，需注明出处“金石期货有限公司”，并保留我公司的一切权利。</w:t>
                      </w:r>
                    </w:p>
                  </w:txbxContent>
                </v:textbox>
              </v:shape>
            </w:pict>
          </mc:Fallback>
        </mc:AlternateContent>
      </w:r>
    </w:p>
    <w:p w:rsidR="00DC6B7F" w:rsidRDefault="00DC6B7F">
      <w:pPr>
        <w:spacing w:line="360" w:lineRule="auto"/>
        <w:rPr>
          <w:rFonts w:ascii="宋体" w:eastAsia="宋体" w:hAnsi="宋体"/>
          <w:b/>
          <w:bCs/>
          <w:szCs w:val="21"/>
        </w:rPr>
      </w:pPr>
    </w:p>
    <w:p w:rsidR="00DC6B7F" w:rsidRDefault="00DC6B7F">
      <w:pPr>
        <w:spacing w:line="360" w:lineRule="auto"/>
        <w:rPr>
          <w:rFonts w:ascii="宋体" w:eastAsia="宋体" w:hAnsi="宋体"/>
          <w:b/>
          <w:bCs/>
          <w:szCs w:val="21"/>
        </w:rPr>
      </w:pPr>
    </w:p>
    <w:p w:rsidR="00DC6B7F" w:rsidRDefault="00DC6B7F">
      <w:pPr>
        <w:spacing w:line="360" w:lineRule="auto"/>
        <w:rPr>
          <w:rFonts w:ascii="宋体" w:eastAsia="宋体" w:hAnsi="宋体"/>
          <w:b/>
          <w:bCs/>
          <w:szCs w:val="21"/>
        </w:rPr>
      </w:pPr>
    </w:p>
    <w:p w:rsidR="00DC6B7F" w:rsidRDefault="00DC6B7F"/>
    <w:p w:rsidR="00DC6B7F" w:rsidRDefault="00DC6B7F"/>
    <w:sectPr w:rsidR="00DC6B7F">
      <w:headerReference w:type="even" r:id="rId20"/>
      <w:headerReference w:type="default" r:id="rId21"/>
      <w:footerReference w:type="even" r:id="rId22"/>
      <w:footerReference w:type="default" r:id="rId23"/>
      <w:pgSz w:w="11906" w:h="16838"/>
      <w:pgMar w:top="1094" w:right="1797" w:bottom="1440" w:left="1797" w:header="709" w:footer="0"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3A33" w:rsidRDefault="00873A33">
      <w:r>
        <w:separator/>
      </w:r>
    </w:p>
  </w:endnote>
  <w:endnote w:type="continuationSeparator" w:id="0">
    <w:p w:rsidR="00873A33" w:rsidRDefault="00873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7F" w:rsidRDefault="004C2E22">
    <w:pPr>
      <w:pStyle w:val="a4"/>
    </w:pPr>
    <w:r>
      <w:rPr>
        <w:noProof/>
      </w:rPr>
      <mc:AlternateContent>
        <mc:Choice Requires="wpg">
          <w:drawing>
            <wp:anchor distT="0" distB="0" distL="114300" distR="114300" simplePos="0" relativeHeight="251665408" behindDoc="0" locked="0" layoutInCell="1" allowOverlap="1">
              <wp:simplePos x="0" y="0"/>
              <wp:positionH relativeFrom="column">
                <wp:posOffset>5386705</wp:posOffset>
              </wp:positionH>
              <wp:positionV relativeFrom="paragraph">
                <wp:posOffset>17145</wp:posOffset>
              </wp:positionV>
              <wp:extent cx="745490" cy="693420"/>
              <wp:effectExtent l="0" t="0" r="16510" b="11430"/>
              <wp:wrapNone/>
              <wp:docPr id="9" name="组合 9"/>
              <wp:cNvGraphicFramePr/>
              <a:graphic xmlns:a="http://schemas.openxmlformats.org/drawingml/2006/main">
                <a:graphicData uri="http://schemas.microsoft.com/office/word/2010/wordprocessingGroup">
                  <wpg:wgp>
                    <wpg:cNvGrpSpPr/>
                    <wpg:grpSpPr>
                      <a:xfrm flipH="1" flipV="1">
                        <a:off x="0" y="0"/>
                        <a:ext cx="745490" cy="693420"/>
                        <a:chOff x="8754" y="11945"/>
                        <a:chExt cx="2880" cy="2859"/>
                      </a:xfrm>
                    </wpg:grpSpPr>
                    <wps:wsp>
                      <wps:cNvPr id="3" name="Rectangle 451"/>
                      <wps:cNvSpPr>
                        <a:spLocks noChangeArrowheads="1"/>
                      </wps:cNvSpPr>
                      <wps:spPr bwMode="auto">
                        <a:xfrm flipH="1">
                          <a:off x="10194" y="11945"/>
                          <a:ext cx="1440" cy="1440"/>
                        </a:xfrm>
                        <a:prstGeom prst="rect">
                          <a:avLst/>
                        </a:prstGeom>
                        <a:solidFill>
                          <a:srgbClr val="DBD608">
                            <a:alpha val="50000"/>
                          </a:srgbClr>
                        </a:solidFill>
                        <a:ln w="12700">
                          <a:solidFill>
                            <a:srgbClr val="FFFFFF"/>
                          </a:solidFill>
                          <a:miter lim="800000"/>
                        </a:ln>
                      </wps:spPr>
                      <wps:bodyPr rot="0" vert="horz" wrap="square" lIns="91440" tIns="45720" rIns="91440" bIns="45720" anchor="ctr" anchorCtr="0" upright="1">
                        <a:noAutofit/>
                      </wps:bodyPr>
                    </wps:wsp>
                    <wps:wsp>
                      <wps:cNvPr id="11" name="Rectangle 452"/>
                      <wps:cNvSpPr>
                        <a:spLocks noChangeArrowheads="1"/>
                      </wps:cNvSpPr>
                      <wps:spPr bwMode="auto">
                        <a:xfrm flipH="1">
                          <a:off x="10194" y="13364"/>
                          <a:ext cx="1440" cy="1440"/>
                        </a:xfrm>
                        <a:prstGeom prst="rect">
                          <a:avLst/>
                        </a:prstGeom>
                        <a:solidFill>
                          <a:srgbClr val="F8F814"/>
                        </a:solidFill>
                        <a:ln w="12700">
                          <a:solidFill>
                            <a:srgbClr val="FFFFFF"/>
                          </a:solidFill>
                          <a:miter lim="800000"/>
                        </a:ln>
                      </wps:spPr>
                      <wps:bodyPr rot="0" vert="horz" wrap="square" lIns="91440" tIns="45720" rIns="91440" bIns="45720" anchor="ctr" anchorCtr="0" upright="1">
                        <a:noAutofit/>
                      </wps:bodyPr>
                    </wps:wsp>
                    <wps:wsp>
                      <wps:cNvPr id="10" name="Rectangle 453"/>
                      <wps:cNvSpPr>
                        <a:spLocks noChangeArrowheads="1"/>
                      </wps:cNvSpPr>
                      <wps:spPr bwMode="auto">
                        <a:xfrm flipH="1">
                          <a:off x="8754" y="13364"/>
                          <a:ext cx="1440" cy="1440"/>
                        </a:xfrm>
                        <a:prstGeom prst="rect">
                          <a:avLst/>
                        </a:prstGeom>
                        <a:solidFill>
                          <a:srgbClr val="CC9900">
                            <a:alpha val="50000"/>
                          </a:srgbClr>
                        </a:solidFill>
                        <a:ln w="12700">
                          <a:solidFill>
                            <a:srgbClr val="FFFFFF"/>
                          </a:solidFill>
                          <a:miter lim="800000"/>
                        </a:ln>
                      </wps:spPr>
                      <wps:bodyPr rot="0" vert="horz" wrap="square" lIns="91440" tIns="45720" rIns="91440" bIns="45720" anchor="ctr" anchorCtr="0" upright="1">
                        <a:noAutofit/>
                      </wps:bodyPr>
                    </wps:wsp>
                  </wpg:wgp>
                </a:graphicData>
              </a:graphic>
            </wp:anchor>
          </w:drawing>
        </mc:Choice>
        <mc:Fallback xmlns:w15="http://schemas.microsoft.com/office/word/2012/wordml" xmlns:wpsCustomData="http://www.wps.cn/officeDocument/2013/wpsCustomData">
          <w:pict>
            <v:group id="_x0000_s1026" o:spid="_x0000_s1026" o:spt="203" style="position:absolute;left:0pt;flip:x y;margin-left:424.15pt;margin-top:1.35pt;height:54.6pt;width:58.7pt;z-index:251665408;mso-width-relative:page;mso-height-relative:page;" coordorigin="8754,11945" coordsize="2880,2859" o:gfxdata="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">
              <o:lock v:ext="edit" aspectratio="f"/>
              <v:rect id="Rectangle 451" o:spid="_x0000_s1026" o:spt="1" style="position:absolute;left:10194;top:11945;flip:x;height:1440;width:1440;v-text-anchor:middle;" fillcolor="#DBD608" filled="t" stroked="t" coordsize="21600,21600" o:gfxdata="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0WgfW5AAAA2gAA&#10;AA8AAAAAAAAAAQAgAAAAIgAAAGRycy9kb3ducmV2LnhtbFBLAQIUABQAAAAIAIdO4kAzLwWeOwAA&#10;ADkAAAAQAAAAAAAAAAEAIAAAAAgBAABkcnMvc2hhcGV4bWwueG1sUEsFBgAAAAAGAAYAWwEAALID&#10;AAAAAA==&#10;">
                <v:fill on="t" opacity="32768f" focussize="0,0"/>
                <v:stroke weight="1pt" color="#FFFFFF" miterlimit="8" joinstyle="miter"/>
                <v:imagedata o:title=""/>
                <o:lock v:ext="edit" aspectratio="f"/>
              </v:rect>
              <v:rect id="Rectangle 452" o:spid="_x0000_s1026" o:spt="1" style="position:absolute;left:10194;top:13364;flip:x;height:1440;width:1440;v-text-anchor:middle;" fillcolor="#F8F814" filled="t" stroked="t" coordsize="21600,21600" o:gfxdata="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Zxv2ugAAANsA&#10;AAAPAAAAAAAAAAEAIAAAACIAAABkcnMvZG93bnJldi54bWxQSwECFAAUAAAACACHTuJAMy8FnjsA&#10;AAA5AAAAEAAAAAAAAAABACAAAAAJAQAAZHJzL3NoYXBleG1sLnhtbFBLBQYAAAAABgAGAFsBAACz&#10;AwAAAAA=&#10;">
                <v:fill on="t" focussize="0,0"/>
                <v:stroke weight="1pt" color="#FFFFFF" miterlimit="8" joinstyle="miter"/>
                <v:imagedata o:title=""/>
                <o:lock v:ext="edit" aspectratio="f"/>
              </v:rect>
              <v:rect id="Rectangle 453" o:spid="_x0000_s1026" o:spt="1" style="position:absolute;left:8754;top:13364;flip:x;height:1440;width:1440;v-text-anchor:middle;" fillcolor="#CC9900" filled="t" stroked="t" coordsize="21600,21600" o:gfxdata="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94mDnvQAA&#10;ANsAAAAPAAAAAAAAAAEAIAAAACIAAABkcnMvZG93bnJldi54bWxQSwECFAAUAAAACACHTuJAMy8F&#10;njsAAAA5AAAAEAAAAAAAAAABACAAAAAMAQAAZHJzL3NoYXBleG1sLnhtbFBLBQYAAAAABgAGAFsB&#10;AAC2AwAAAAA=&#10;">
                <v:fill on="t" opacity="32768f" focussize="0,0"/>
                <v:stroke weight="1pt" color="#FFFFFF" miterlimit="8" joinstyle="miter"/>
                <v:imagedata o:title=""/>
                <o:lock v:ext="edit" aspectratio="f"/>
              </v:rect>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2221" w:type="dxa"/>
      <w:jc w:val="right"/>
      <w:tblLayout w:type="fixed"/>
      <w:tblLook w:val="04A0" w:firstRow="1" w:lastRow="0" w:firstColumn="1" w:lastColumn="0" w:noHBand="0" w:noVBand="1"/>
    </w:tblPr>
    <w:tblGrid>
      <w:gridCol w:w="1985"/>
      <w:gridCol w:w="236"/>
    </w:tblGrid>
    <w:tr w:rsidR="00DC6B7F">
      <w:trPr>
        <w:jc w:val="right"/>
      </w:trPr>
      <w:tc>
        <w:tcPr>
          <w:tcW w:w="1985" w:type="dxa"/>
        </w:tcPr>
        <w:p w:rsidR="00DC6B7F" w:rsidRDefault="004C2E22">
          <w:pPr>
            <w:pStyle w:val="a4"/>
            <w:rPr>
              <w:rFonts w:ascii="微软雅黑" w:eastAsia="微软雅黑" w:hAnsi="微软雅黑"/>
              <w:lang w:val="zh-CN"/>
            </w:rPr>
          </w:pPr>
          <w:r>
            <w:rPr>
              <w:rFonts w:ascii="微软雅黑" w:eastAsia="微软雅黑" w:hAnsi="微软雅黑"/>
              <w:b/>
              <w:lang w:val="zh-CN"/>
            </w:rPr>
            <w:fldChar w:fldCharType="begin"/>
          </w:r>
          <w:r>
            <w:rPr>
              <w:rFonts w:ascii="微软雅黑" w:eastAsia="微软雅黑" w:hAnsi="微软雅黑"/>
              <w:b/>
              <w:lang w:val="zh-CN"/>
            </w:rPr>
            <w:instrText>PAGE  \* Arabic  \* MERGEFORMAT</w:instrText>
          </w:r>
          <w:r>
            <w:rPr>
              <w:rFonts w:ascii="微软雅黑" w:eastAsia="微软雅黑" w:hAnsi="微软雅黑"/>
              <w:b/>
              <w:lang w:val="zh-CN"/>
            </w:rPr>
            <w:fldChar w:fldCharType="separate"/>
          </w:r>
          <w:r w:rsidR="00287339">
            <w:rPr>
              <w:rFonts w:ascii="微软雅黑" w:eastAsia="微软雅黑" w:hAnsi="微软雅黑"/>
              <w:b/>
              <w:noProof/>
              <w:lang w:val="zh-CN"/>
            </w:rPr>
            <w:t>3</w:t>
          </w:r>
          <w:r>
            <w:rPr>
              <w:rFonts w:ascii="微软雅黑" w:eastAsia="微软雅黑" w:hAnsi="微软雅黑"/>
              <w:b/>
              <w:lang w:val="zh-CN"/>
            </w:rPr>
            <w:fldChar w:fldCharType="end"/>
          </w:r>
          <w:r>
            <w:rPr>
              <w:rFonts w:ascii="微软雅黑" w:eastAsia="微软雅黑" w:hAnsi="微软雅黑"/>
              <w:lang w:val="zh-CN"/>
            </w:rPr>
            <w:t xml:space="preserve"> / </w:t>
          </w:r>
          <w:r>
            <w:rPr>
              <w:rFonts w:ascii="微软雅黑" w:eastAsia="微软雅黑" w:hAnsi="微软雅黑"/>
              <w:b/>
              <w:lang w:val="zh-CN"/>
            </w:rPr>
            <w:fldChar w:fldCharType="begin"/>
          </w:r>
          <w:r>
            <w:rPr>
              <w:rFonts w:ascii="微软雅黑" w:eastAsia="微软雅黑" w:hAnsi="微软雅黑"/>
              <w:b/>
              <w:lang w:val="zh-CN"/>
            </w:rPr>
            <w:instrText>NUMPAGES  \* Arabic  \* MERGEFORMAT</w:instrText>
          </w:r>
          <w:r>
            <w:rPr>
              <w:rFonts w:ascii="微软雅黑" w:eastAsia="微软雅黑" w:hAnsi="微软雅黑"/>
              <w:b/>
              <w:lang w:val="zh-CN"/>
            </w:rPr>
            <w:fldChar w:fldCharType="separate"/>
          </w:r>
          <w:r w:rsidR="00287339">
            <w:rPr>
              <w:rFonts w:ascii="微软雅黑" w:eastAsia="微软雅黑" w:hAnsi="微软雅黑"/>
              <w:b/>
              <w:noProof/>
              <w:lang w:val="zh-CN"/>
            </w:rPr>
            <w:t>6</w:t>
          </w:r>
          <w:r>
            <w:rPr>
              <w:rFonts w:ascii="微软雅黑" w:eastAsia="微软雅黑" w:hAnsi="微软雅黑"/>
              <w:b/>
              <w:lang w:val="zh-CN"/>
            </w:rPr>
            <w:fldChar w:fldCharType="end"/>
          </w:r>
        </w:p>
      </w:tc>
      <w:tc>
        <w:tcPr>
          <w:tcW w:w="236" w:type="dxa"/>
        </w:tcPr>
        <w:p w:rsidR="00DC6B7F" w:rsidRDefault="004C2E22">
          <w:pPr>
            <w:pStyle w:val="a4"/>
            <w:jc w:val="right"/>
          </w:pPr>
          <w:r>
            <w:rPr>
              <w:noProof/>
            </w:rPr>
            <mc:AlternateContent>
              <mc:Choice Requires="wpg">
                <w:drawing>
                  <wp:anchor distT="0" distB="0" distL="114300" distR="114300" simplePos="0" relativeHeight="251666432" behindDoc="0" locked="0" layoutInCell="1" allowOverlap="1" wp14:anchorId="17C1E837" wp14:editId="04F64A2B">
                    <wp:simplePos x="0" y="0"/>
                    <wp:positionH relativeFrom="column">
                      <wp:posOffset>40005</wp:posOffset>
                    </wp:positionH>
                    <wp:positionV relativeFrom="paragraph">
                      <wp:posOffset>-3175</wp:posOffset>
                    </wp:positionV>
                    <wp:extent cx="745490" cy="693420"/>
                    <wp:effectExtent l="0" t="0" r="16510" b="11430"/>
                    <wp:wrapNone/>
                    <wp:docPr id="2" name="组合 2"/>
                    <wp:cNvGraphicFramePr/>
                    <a:graphic xmlns:a="http://schemas.openxmlformats.org/drawingml/2006/main">
                      <a:graphicData uri="http://schemas.microsoft.com/office/word/2010/wordprocessingGroup">
                        <wpg:wgp>
                          <wpg:cNvGrpSpPr/>
                          <wpg:grpSpPr>
                            <a:xfrm flipH="1" flipV="1">
                              <a:off x="0" y="0"/>
                              <a:ext cx="745490" cy="693420"/>
                              <a:chOff x="8754" y="11945"/>
                              <a:chExt cx="2880" cy="2859"/>
                            </a:xfrm>
                          </wpg:grpSpPr>
                          <wps:wsp>
                            <wps:cNvPr id="4" name="Rectangle 451"/>
                            <wps:cNvSpPr>
                              <a:spLocks noChangeArrowheads="1"/>
                            </wps:cNvSpPr>
                            <wps:spPr bwMode="auto">
                              <a:xfrm flipH="1">
                                <a:off x="10194" y="11945"/>
                                <a:ext cx="1440" cy="1440"/>
                              </a:xfrm>
                              <a:prstGeom prst="rect">
                                <a:avLst/>
                              </a:prstGeom>
                              <a:solidFill>
                                <a:srgbClr val="DBD608">
                                  <a:alpha val="50000"/>
                                </a:srgbClr>
                              </a:solidFill>
                              <a:ln w="12700">
                                <a:solidFill>
                                  <a:srgbClr val="FFFFFF"/>
                                </a:solidFill>
                                <a:miter lim="800000"/>
                              </a:ln>
                            </wps:spPr>
                            <wps:bodyPr rot="0" vert="horz" wrap="square" lIns="91440" tIns="45720" rIns="91440" bIns="45720" anchor="ctr" anchorCtr="0" upright="1">
                              <a:noAutofit/>
                            </wps:bodyPr>
                          </wps:wsp>
                          <wps:wsp>
                            <wps:cNvPr id="5" name="Rectangle 452"/>
                            <wps:cNvSpPr>
                              <a:spLocks noChangeArrowheads="1"/>
                            </wps:cNvSpPr>
                            <wps:spPr bwMode="auto">
                              <a:xfrm flipH="1">
                                <a:off x="10194" y="13364"/>
                                <a:ext cx="1440" cy="1440"/>
                              </a:xfrm>
                              <a:prstGeom prst="rect">
                                <a:avLst/>
                              </a:prstGeom>
                              <a:solidFill>
                                <a:srgbClr val="F8F814"/>
                              </a:solidFill>
                              <a:ln w="12700">
                                <a:solidFill>
                                  <a:srgbClr val="FFFFFF"/>
                                </a:solidFill>
                                <a:miter lim="800000"/>
                              </a:ln>
                            </wps:spPr>
                            <wps:bodyPr rot="0" vert="horz" wrap="square" lIns="91440" tIns="45720" rIns="91440" bIns="45720" anchor="ctr" anchorCtr="0" upright="1">
                              <a:noAutofit/>
                            </wps:bodyPr>
                          </wps:wsp>
                          <wps:wsp>
                            <wps:cNvPr id="6" name="Rectangle 453"/>
                            <wps:cNvSpPr>
                              <a:spLocks noChangeArrowheads="1"/>
                            </wps:cNvSpPr>
                            <wps:spPr bwMode="auto">
                              <a:xfrm flipH="1">
                                <a:off x="8754" y="13364"/>
                                <a:ext cx="1440" cy="1440"/>
                              </a:xfrm>
                              <a:prstGeom prst="rect">
                                <a:avLst/>
                              </a:prstGeom>
                              <a:solidFill>
                                <a:srgbClr val="CC9900">
                                  <a:alpha val="50000"/>
                                </a:srgbClr>
                              </a:solidFill>
                              <a:ln w="12700">
                                <a:solidFill>
                                  <a:srgbClr val="FFFFFF"/>
                                </a:solidFill>
                                <a:miter lim="800000"/>
                              </a:ln>
                            </wps:spPr>
                            <wps:bodyPr rot="0" vert="horz" wrap="square" lIns="91440" tIns="45720" rIns="91440" bIns="45720" anchor="ctr" anchorCtr="0" upright="1">
                              <a:noAutofit/>
                            </wps:bodyPr>
                          </wps:wsp>
                        </wpg:wgp>
                      </a:graphicData>
                    </a:graphic>
                  </wp:anchor>
                </w:drawing>
              </mc:Choice>
              <mc:Fallback xmlns:w15="http://schemas.microsoft.com/office/word/2012/wordml" xmlns:wpsCustomData="http://www.wps.cn/officeDocument/2013/wpsCustomData">
                <w:pict>
                  <v:group id="_x0000_s1026" o:spid="_x0000_s1026" o:spt="203" style="position:absolute;left:0pt;flip:x y;margin-left:3.15pt;margin-top:-0.25pt;height:54.6pt;width:58.7pt;z-index:251666432;mso-width-relative:page;mso-height-relative:page;" coordorigin="8754,11945" coordsize="2880,2859" o:gfxdata="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">
                    <o:lock v:ext="edit" aspectratio="f"/>
                    <v:rect id="Rectangle 451" o:spid="_x0000_s1026" o:spt="1" style="position:absolute;left:10194;top:11945;flip:x;height:1440;width:1440;v-text-anchor:middle;" fillcolor="#DBD608" filled="t" stroked="t" coordsize="21600,21600" o:gfxdata="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L/GYG5AAAA2gAA&#10;AA8AAAAAAAAAAQAgAAAAIgAAAGRycy9kb3ducmV2LnhtbFBLAQIUABQAAAAIAIdO4kAzLwWeOwAA&#10;ADkAAAAQAAAAAAAAAAEAIAAAAAgBAABkcnMvc2hhcGV4bWwueG1sUEsFBgAAAAAGAAYAWwEAALID&#10;AAAAAA==&#10;">
                      <v:fill on="t" opacity="32768f" focussize="0,0"/>
                      <v:stroke weight="1pt" color="#FFFFFF" miterlimit="8" joinstyle="miter"/>
                      <v:imagedata o:title=""/>
                      <o:lock v:ext="edit" aspectratio="f"/>
                    </v:rect>
                    <v:rect id="Rectangle 452" o:spid="_x0000_s1026" o:spt="1" style="position:absolute;left:10194;top:13364;flip:x;height:1440;width:1440;v-text-anchor:middle;" fillcolor="#F8F814" filled="t" stroked="t" coordsize="21600,21600" o:gfxdata="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HWlU74A&#10;AADaAAAADwAAAAAAAAABACAAAAAiAAAAZHJzL2Rvd25yZXYueG1sUEsBAhQAFAAAAAgAh07iQDMv&#10;BZ47AAAAOQAAABAAAAAAAAAAAQAgAAAADQEAAGRycy9zaGFwZXhtbC54bWxQSwUGAAAAAAYABgBb&#10;AQAAtwMAAAAA&#10;">
                      <v:fill on="t" focussize="0,0"/>
                      <v:stroke weight="1pt" color="#FFFFFF" miterlimit="8" joinstyle="miter"/>
                      <v:imagedata o:title=""/>
                      <o:lock v:ext="edit" aspectratio="f"/>
                    </v:rect>
                    <v:rect id="Rectangle 453" o:spid="_x0000_s1026" o:spt="1" style="position:absolute;left:8754;top:13364;flip:x;height:1440;width:1440;v-text-anchor:middle;" fillcolor="#CC9900" filled="t" stroked="t" coordsize="21600,21600" o:gfxdata="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2E7n7gAAADaAAAA&#10;DwAAAAAAAAABACAAAAAiAAAAZHJzL2Rvd25yZXYueG1sUEsBAhQAFAAAAAgAh07iQDMvBZ47AAAA&#10;OQAAABAAAAAAAAAAAQAgAAAABwEAAGRycy9zaGFwZXhtbC54bWxQSwUGAAAAAAYABgBbAQAAsQMA&#10;AAAA&#10;">
                      <v:fill on="t" opacity="32768f" focussize="0,0"/>
                      <v:stroke weight="1pt" color="#FFFFFF" miterlimit="8" joinstyle="miter"/>
                      <v:imagedata o:title=""/>
                      <o:lock v:ext="edit" aspectratio="f"/>
                    </v:rect>
                  </v:group>
                </w:pict>
              </mc:Fallback>
            </mc:AlternateContent>
          </w:r>
        </w:p>
      </w:tc>
    </w:tr>
    <w:tr w:rsidR="00DC6B7F">
      <w:trPr>
        <w:trHeight w:val="1069"/>
        <w:jc w:val="right"/>
      </w:trPr>
      <w:tc>
        <w:tcPr>
          <w:tcW w:w="1985" w:type="dxa"/>
        </w:tcPr>
        <w:p w:rsidR="00DC6B7F" w:rsidRDefault="00DC6B7F">
          <w:pPr>
            <w:pStyle w:val="a4"/>
            <w:jc w:val="right"/>
            <w:rPr>
              <w:rFonts w:ascii="微软雅黑" w:eastAsia="微软雅黑" w:hAnsi="微软雅黑"/>
            </w:rPr>
          </w:pPr>
        </w:p>
      </w:tc>
      <w:tc>
        <w:tcPr>
          <w:tcW w:w="236" w:type="dxa"/>
        </w:tcPr>
        <w:p w:rsidR="00DC6B7F" w:rsidRDefault="00DC6B7F">
          <w:pPr>
            <w:pStyle w:val="a4"/>
            <w:jc w:val="right"/>
          </w:pPr>
        </w:p>
      </w:tc>
    </w:tr>
  </w:tbl>
  <w:p w:rsidR="00DC6B7F" w:rsidRDefault="00DC6B7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3A33" w:rsidRDefault="00873A33">
      <w:r>
        <w:separator/>
      </w:r>
    </w:p>
  </w:footnote>
  <w:footnote w:type="continuationSeparator" w:id="0">
    <w:p w:rsidR="00873A33" w:rsidRDefault="00873A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7F" w:rsidRDefault="004C2E22">
    <w:pPr>
      <w:pStyle w:val="a5"/>
    </w:pPr>
    <w:r>
      <w:rPr>
        <w:noProof/>
      </w:rPr>
      <mc:AlternateContent>
        <mc:Choice Requires="wps">
          <w:drawing>
            <wp:anchor distT="0" distB="0" distL="114300" distR="114300" simplePos="0" relativeHeight="251663360" behindDoc="0" locked="0" layoutInCell="1" allowOverlap="1">
              <wp:simplePos x="0" y="0"/>
              <wp:positionH relativeFrom="column">
                <wp:posOffset>-947420</wp:posOffset>
              </wp:positionH>
              <wp:positionV relativeFrom="paragraph">
                <wp:posOffset>-273050</wp:posOffset>
              </wp:positionV>
              <wp:extent cx="625475" cy="3464560"/>
              <wp:effectExtent l="0" t="0" r="3175" b="2540"/>
              <wp:wrapNone/>
              <wp:docPr id="20" name="矩形 20"/>
              <wp:cNvGraphicFramePr/>
              <a:graphic xmlns:a="http://schemas.openxmlformats.org/drawingml/2006/main">
                <a:graphicData uri="http://schemas.microsoft.com/office/word/2010/wordprocessingShape">
                  <wps:wsp>
                    <wps:cNvSpPr/>
                    <wps:spPr>
                      <a:xfrm>
                        <a:off x="0" y="0"/>
                        <a:ext cx="625475" cy="3464560"/>
                      </a:xfrm>
                      <a:prstGeom prst="rect">
                        <a:avLst/>
                      </a:prstGeom>
                      <a:gradFill flip="none" rotWithShape="1">
                        <a:gsLst>
                          <a:gs pos="0">
                            <a:srgbClr val="CC9900"/>
                          </a:gs>
                          <a:gs pos="100000">
                            <a:srgbClr val="F8F814"/>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74.6pt;margin-top:-21.5pt;height:272.8pt;width:49.25pt;z-index:251663360;v-text-anchor:middle;mso-width-relative:page;mso-height-relative:page;" fillcolor="#CC9900" filled="t" stroked="f" coordsize="21600,21600" o:gfxdata="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sqBchdsAAAAMAQAADwAAAAAAAAABACAAAAAiAAAAZHJzL2Rvd25yZXYueG1sUEsBAhQA&#10;FAAAAAgAh07iQBXg8UzTAgAArAUAAA4AAAAAAAAAAQAgAAAAKgEAAGRycy9lMm9Eb2MueG1sUEsF&#10;BgAAAAAGAAYAWQEAAG8GAAAAAA==&#10;">
              <v:fill type="gradientRadial" on="t" color2="#F8F814" focus="100%" focussize="0f,0f" focusposition="65536f,65536f" rotate="t">
                <o:fill type="gradientRadial" v:ext="backwardCompatible"/>
              </v:fill>
              <v:stroke on="f" weight="1pt" miterlimit="8" joinstyle="miter"/>
              <v:imagedata o:title=""/>
              <o:lock v:ext="edit" aspectratio="f"/>
            </v:rect>
          </w:pict>
        </mc:Fallback>
      </mc:AlternateContent>
    </w:r>
    <w:r>
      <w:rPr>
        <w:noProof/>
      </w:rPr>
      <w:drawing>
        <wp:anchor distT="0" distB="0" distL="114300" distR="114300" simplePos="0" relativeHeight="251664384" behindDoc="0" locked="0" layoutInCell="1" allowOverlap="1">
          <wp:simplePos x="0" y="0"/>
          <wp:positionH relativeFrom="column">
            <wp:posOffset>-628650</wp:posOffset>
          </wp:positionH>
          <wp:positionV relativeFrom="paragraph">
            <wp:posOffset>-26035</wp:posOffset>
          </wp:positionV>
          <wp:extent cx="2000250" cy="541655"/>
          <wp:effectExtent l="0" t="0" r="0" b="0"/>
          <wp:wrapNone/>
          <wp:docPr id="27" name="图片 27" descr="C:\Users\Administrator\Desktop\未命名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Administrator\Desktop\未命名 -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2000250" cy="54165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6B7F" w:rsidRDefault="004C2E22">
    <w:pPr>
      <w:ind w:right="480"/>
      <w:rPr>
        <w:rFonts w:ascii="黑体" w:eastAsia="黑体" w:hAnsi="黑体"/>
        <w:b/>
        <w:color w:val="767171" w:themeColor="background2" w:themeShade="80"/>
        <w:sz w:val="24"/>
        <w:szCs w:val="24"/>
      </w:rPr>
    </w:pPr>
    <w:r>
      <w:rPr>
        <w:rFonts w:ascii="黑体" w:eastAsia="黑体" w:hAnsi="黑体"/>
        <w:b/>
        <w:noProof/>
        <w:color w:val="767171" w:themeColor="background2" w:themeShade="80"/>
        <w:sz w:val="24"/>
        <w:szCs w:val="24"/>
      </w:rPr>
      <mc:AlternateContent>
        <mc:Choice Requires="wps">
          <w:drawing>
            <wp:anchor distT="0" distB="0" distL="114300" distR="114300" simplePos="0" relativeHeight="251662336" behindDoc="0" locked="0" layoutInCell="1" allowOverlap="1">
              <wp:simplePos x="0" y="0"/>
              <wp:positionH relativeFrom="column">
                <wp:posOffset>1208405</wp:posOffset>
              </wp:positionH>
              <wp:positionV relativeFrom="paragraph">
                <wp:posOffset>226695</wp:posOffset>
              </wp:positionV>
              <wp:extent cx="4191000" cy="52705"/>
              <wp:effectExtent l="0" t="0" r="0" b="4445"/>
              <wp:wrapNone/>
              <wp:docPr id="19" name="矩形 19"/>
              <wp:cNvGraphicFramePr/>
              <a:graphic xmlns:a="http://schemas.openxmlformats.org/drawingml/2006/main">
                <a:graphicData uri="http://schemas.microsoft.com/office/word/2010/wordprocessingShape">
                  <wps:wsp>
                    <wps:cNvSpPr/>
                    <wps:spPr>
                      <a:xfrm>
                        <a:off x="0" y="0"/>
                        <a:ext cx="4191000" cy="52705"/>
                      </a:xfrm>
                      <a:prstGeom prst="rect">
                        <a:avLst/>
                      </a:prstGeom>
                      <a:gradFill flip="none" rotWithShape="1">
                        <a:gsLst>
                          <a:gs pos="0">
                            <a:srgbClr val="CC9900"/>
                          </a:gs>
                          <a:gs pos="100000">
                            <a:srgbClr val="F8F814"/>
                          </a:gs>
                        </a:gsLst>
                        <a:path path="circle">
                          <a:fillToRect t="100000" r="100000"/>
                        </a:path>
                        <a:tileRect l="-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95.15pt;margin-top:17.85pt;height:4.15pt;width:330pt;z-index:251662336;v-text-anchor:middle;mso-width-relative:page;mso-height-relative:page;" fillcolor="#CC9900" filled="t" stroked="f" coordsize="21600,21600" o:gfxdata="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LeZ&#10;Xt3UAAAACQEAAA8AAAAAAAAAAQAgAAAAIgAAAGRycy9kb3ducmV2LnhtbFBLAQIUABQAAAAIAIdO&#10;4kAbr3LR0gIAAKsFAAAOAAAAAAAAAAEAIAAAACMBAABkcnMvZTJvRG9jLnhtbFBLBQYAAAAABgAG&#10;AFkBAABnBgAAAAA=&#10;">
              <v:fill type="gradientRadial" on="t" color2="#F8F814" focus="100%" focussize="0f,0f" focusposition="0f,65536f" rotate="t">
                <o:fill type="gradientRadial" v:ext="backwardCompatible"/>
              </v:fill>
              <v:stroke on="f" weight="1pt" miterlimit="8" joinstyle="miter"/>
              <v:imagedata o:title=""/>
              <o:lock v:ext="edit" aspectratio="f"/>
            </v:rect>
          </w:pict>
        </mc:Fallback>
      </mc:AlternateContent>
    </w:r>
    <w:r>
      <w:rPr>
        <w:rFonts w:ascii="黑体" w:eastAsia="黑体" w:hAnsi="黑体"/>
        <w:b/>
        <w:noProof/>
        <w:color w:val="767171" w:themeColor="background2" w:themeShade="80"/>
        <w:sz w:val="24"/>
        <w:szCs w:val="24"/>
      </w:rPr>
      <mc:AlternateContent>
        <mc:Choice Requires="wps">
          <w:drawing>
            <wp:anchor distT="0" distB="0" distL="114300" distR="114300" simplePos="0" relativeHeight="251659264" behindDoc="0" locked="0" layoutInCell="1" allowOverlap="1">
              <wp:simplePos x="0" y="0"/>
              <wp:positionH relativeFrom="column">
                <wp:posOffset>-1099820</wp:posOffset>
              </wp:positionH>
              <wp:positionV relativeFrom="paragraph">
                <wp:posOffset>-426085</wp:posOffset>
              </wp:positionV>
              <wp:extent cx="625475" cy="3464560"/>
              <wp:effectExtent l="0" t="0" r="3175" b="2540"/>
              <wp:wrapNone/>
              <wp:docPr id="14" name="矩形 14"/>
              <wp:cNvGraphicFramePr/>
              <a:graphic xmlns:a="http://schemas.openxmlformats.org/drawingml/2006/main">
                <a:graphicData uri="http://schemas.microsoft.com/office/word/2010/wordprocessingShape">
                  <wps:wsp>
                    <wps:cNvSpPr/>
                    <wps:spPr>
                      <a:xfrm>
                        <a:off x="0" y="0"/>
                        <a:ext cx="625475" cy="3464560"/>
                      </a:xfrm>
                      <a:prstGeom prst="rect">
                        <a:avLst/>
                      </a:prstGeom>
                      <a:gradFill flip="none" rotWithShape="1">
                        <a:gsLst>
                          <a:gs pos="0">
                            <a:srgbClr val="CC9900"/>
                          </a:gs>
                          <a:gs pos="100000">
                            <a:srgbClr val="F8F814"/>
                          </a:gs>
                        </a:gsLst>
                        <a:path path="circle">
                          <a:fillToRect l="100000" t="100000"/>
                        </a:path>
                        <a:tileRect r="-100000" b="-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rect id="_x0000_s1026" o:spid="_x0000_s1026" o:spt="1" style="position:absolute;left:0pt;margin-left:-86.6pt;margin-top:-33.55pt;height:272.8pt;width:49.25pt;z-index:251659264;v-text-anchor:middle;mso-width-relative:page;mso-height-relative:page;" fillcolor="#CC9900" filled="t" stroked="f" coordsize="21600,21600" o:gfxdata="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AAAAAGRycy9QSwECFAAUAAAA&#10;CACHTuJAfkknD9wAAAAMAQAADwAAAAAAAAABACAAAAAiAAAAZHJzL2Rvd25yZXYueG1sUEsBAhQA&#10;FAAAAAgAh07iQKON/qfSAgAArAUAAA4AAAAAAAAAAQAgAAAAKwEAAGRycy9lMm9Eb2MueG1sUEsF&#10;BgAAAAAGAAYAWQEAAG8GAAAAAA==&#10;">
              <v:fill type="gradientRadial" on="t" color2="#F8F814" focus="100%" focussize="0f,0f" focusposition="65536f,65536f" rotate="t">
                <o:fill type="gradientRadial" v:ext="backwardCompatible"/>
              </v:fill>
              <v:stroke on="f" weight="1pt" miterlimit="8" joinstyle="miter"/>
              <v:imagedata o:title=""/>
              <o:lock v:ext="edit" aspectratio="f"/>
            </v:rect>
          </w:pict>
        </mc:Fallback>
      </mc:AlternateContent>
    </w:r>
    <w:r>
      <w:rPr>
        <w:rFonts w:ascii="黑体" w:eastAsia="黑体" w:hAnsi="黑体"/>
        <w:b/>
        <w:noProof/>
        <w:color w:val="767171" w:themeColor="background2" w:themeShade="80"/>
        <w:sz w:val="24"/>
        <w:szCs w:val="24"/>
      </w:rPr>
      <w:drawing>
        <wp:anchor distT="0" distB="0" distL="114300" distR="114300" simplePos="0" relativeHeight="251661312" behindDoc="0" locked="0" layoutInCell="1" allowOverlap="1">
          <wp:simplePos x="0" y="0"/>
          <wp:positionH relativeFrom="column">
            <wp:posOffset>-781050</wp:posOffset>
          </wp:positionH>
          <wp:positionV relativeFrom="paragraph">
            <wp:posOffset>-178435</wp:posOffset>
          </wp:positionV>
          <wp:extent cx="2000250" cy="541655"/>
          <wp:effectExtent l="0" t="0" r="0" b="0"/>
          <wp:wrapNone/>
          <wp:docPr id="28" name="图片 28" descr="C:\Users\Administrator\Desktop\未命名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Administrator\Desktop\未命名 -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2000250" cy="54165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A82D05"/>
    <w:multiLevelType w:val="multilevel"/>
    <w:tmpl w:val="2EA82D05"/>
    <w:lvl w:ilvl="0">
      <w:start w:val="1"/>
      <w:numFmt w:val="decimal"/>
      <w:lvlText w:val="%1、"/>
      <w:lvlJc w:val="left"/>
      <w:pPr>
        <w:ind w:left="440" w:hanging="4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4E955D39"/>
    <w:multiLevelType w:val="hybridMultilevel"/>
    <w:tmpl w:val="0454602E"/>
    <w:lvl w:ilvl="0" w:tplc="50BA7F96">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370"/>
    <w:rsid w:val="00000465"/>
    <w:rsid w:val="00003C7C"/>
    <w:rsid w:val="00004C5B"/>
    <w:rsid w:val="00005CE7"/>
    <w:rsid w:val="000077A4"/>
    <w:rsid w:val="000216D0"/>
    <w:rsid w:val="00021840"/>
    <w:rsid w:val="000219C6"/>
    <w:rsid w:val="00021C4F"/>
    <w:rsid w:val="000255E6"/>
    <w:rsid w:val="00025670"/>
    <w:rsid w:val="00027863"/>
    <w:rsid w:val="000279AD"/>
    <w:rsid w:val="00027F5C"/>
    <w:rsid w:val="00030B4A"/>
    <w:rsid w:val="00031B5D"/>
    <w:rsid w:val="000328D8"/>
    <w:rsid w:val="00034F19"/>
    <w:rsid w:val="0003577A"/>
    <w:rsid w:val="00036C72"/>
    <w:rsid w:val="00036EE7"/>
    <w:rsid w:val="00040067"/>
    <w:rsid w:val="0004084E"/>
    <w:rsid w:val="00041045"/>
    <w:rsid w:val="0004290A"/>
    <w:rsid w:val="00046CCC"/>
    <w:rsid w:val="00046CF2"/>
    <w:rsid w:val="00050494"/>
    <w:rsid w:val="000515EF"/>
    <w:rsid w:val="00054411"/>
    <w:rsid w:val="00057029"/>
    <w:rsid w:val="00060905"/>
    <w:rsid w:val="0006216B"/>
    <w:rsid w:val="00062548"/>
    <w:rsid w:val="0006369D"/>
    <w:rsid w:val="00065D26"/>
    <w:rsid w:val="0006643E"/>
    <w:rsid w:val="000665DF"/>
    <w:rsid w:val="00072AB1"/>
    <w:rsid w:val="00072BE3"/>
    <w:rsid w:val="000771BA"/>
    <w:rsid w:val="00077252"/>
    <w:rsid w:val="000805FA"/>
    <w:rsid w:val="00085122"/>
    <w:rsid w:val="0008543A"/>
    <w:rsid w:val="00091F77"/>
    <w:rsid w:val="00092984"/>
    <w:rsid w:val="00092FA4"/>
    <w:rsid w:val="00094B02"/>
    <w:rsid w:val="00096BED"/>
    <w:rsid w:val="00096D01"/>
    <w:rsid w:val="00097006"/>
    <w:rsid w:val="000A0889"/>
    <w:rsid w:val="000A0CBE"/>
    <w:rsid w:val="000A1ABB"/>
    <w:rsid w:val="000A1E27"/>
    <w:rsid w:val="000A245A"/>
    <w:rsid w:val="000A3A80"/>
    <w:rsid w:val="000A3C0F"/>
    <w:rsid w:val="000A44D7"/>
    <w:rsid w:val="000A5627"/>
    <w:rsid w:val="000A6E28"/>
    <w:rsid w:val="000B1759"/>
    <w:rsid w:val="000B4248"/>
    <w:rsid w:val="000B48A9"/>
    <w:rsid w:val="000B5B20"/>
    <w:rsid w:val="000C0FF2"/>
    <w:rsid w:val="000D12A3"/>
    <w:rsid w:val="000D51AC"/>
    <w:rsid w:val="000E1E2D"/>
    <w:rsid w:val="000E2382"/>
    <w:rsid w:val="000E2531"/>
    <w:rsid w:val="000E494D"/>
    <w:rsid w:val="000F0FC4"/>
    <w:rsid w:val="000F1E87"/>
    <w:rsid w:val="000F3521"/>
    <w:rsid w:val="000F5EB6"/>
    <w:rsid w:val="000F609F"/>
    <w:rsid w:val="000F7963"/>
    <w:rsid w:val="000F7C71"/>
    <w:rsid w:val="001042A2"/>
    <w:rsid w:val="001045E0"/>
    <w:rsid w:val="00105017"/>
    <w:rsid w:val="001053AE"/>
    <w:rsid w:val="00105DE3"/>
    <w:rsid w:val="00107A05"/>
    <w:rsid w:val="00110448"/>
    <w:rsid w:val="0011322C"/>
    <w:rsid w:val="00113815"/>
    <w:rsid w:val="00113FFA"/>
    <w:rsid w:val="00115191"/>
    <w:rsid w:val="001154B4"/>
    <w:rsid w:val="00116AAB"/>
    <w:rsid w:val="0012089B"/>
    <w:rsid w:val="0012106F"/>
    <w:rsid w:val="00122253"/>
    <w:rsid w:val="001233FF"/>
    <w:rsid w:val="00125331"/>
    <w:rsid w:val="001256CD"/>
    <w:rsid w:val="00127F80"/>
    <w:rsid w:val="00131F74"/>
    <w:rsid w:val="00133BE2"/>
    <w:rsid w:val="00134F6D"/>
    <w:rsid w:val="00135E7E"/>
    <w:rsid w:val="001370BB"/>
    <w:rsid w:val="00142306"/>
    <w:rsid w:val="00142F2F"/>
    <w:rsid w:val="00143ABB"/>
    <w:rsid w:val="0014575B"/>
    <w:rsid w:val="00146D8E"/>
    <w:rsid w:val="00150558"/>
    <w:rsid w:val="001506DC"/>
    <w:rsid w:val="00150C37"/>
    <w:rsid w:val="00152766"/>
    <w:rsid w:val="0015423D"/>
    <w:rsid w:val="00157784"/>
    <w:rsid w:val="00161A4B"/>
    <w:rsid w:val="00161F63"/>
    <w:rsid w:val="0016229E"/>
    <w:rsid w:val="00163962"/>
    <w:rsid w:val="00166202"/>
    <w:rsid w:val="00170129"/>
    <w:rsid w:val="001702C8"/>
    <w:rsid w:val="00170A02"/>
    <w:rsid w:val="00171D82"/>
    <w:rsid w:val="00172197"/>
    <w:rsid w:val="001731ED"/>
    <w:rsid w:val="0017344A"/>
    <w:rsid w:val="00174156"/>
    <w:rsid w:val="001751E2"/>
    <w:rsid w:val="001757A8"/>
    <w:rsid w:val="00176E6F"/>
    <w:rsid w:val="0018232E"/>
    <w:rsid w:val="00182418"/>
    <w:rsid w:val="001842E1"/>
    <w:rsid w:val="0018476F"/>
    <w:rsid w:val="00187760"/>
    <w:rsid w:val="001919C4"/>
    <w:rsid w:val="0019216B"/>
    <w:rsid w:val="00192B11"/>
    <w:rsid w:val="001939DB"/>
    <w:rsid w:val="00193F4B"/>
    <w:rsid w:val="0019425A"/>
    <w:rsid w:val="00195150"/>
    <w:rsid w:val="001954DE"/>
    <w:rsid w:val="001965F2"/>
    <w:rsid w:val="00197626"/>
    <w:rsid w:val="001A1122"/>
    <w:rsid w:val="001A200E"/>
    <w:rsid w:val="001A2159"/>
    <w:rsid w:val="001A2ED6"/>
    <w:rsid w:val="001A31A3"/>
    <w:rsid w:val="001A5AF2"/>
    <w:rsid w:val="001A6280"/>
    <w:rsid w:val="001A6356"/>
    <w:rsid w:val="001A7DA7"/>
    <w:rsid w:val="001B026B"/>
    <w:rsid w:val="001B1C80"/>
    <w:rsid w:val="001B3B71"/>
    <w:rsid w:val="001B47C4"/>
    <w:rsid w:val="001B516D"/>
    <w:rsid w:val="001B5653"/>
    <w:rsid w:val="001C11BB"/>
    <w:rsid w:val="001C26CA"/>
    <w:rsid w:val="001C390F"/>
    <w:rsid w:val="001C613D"/>
    <w:rsid w:val="001C7600"/>
    <w:rsid w:val="001C7CA7"/>
    <w:rsid w:val="001D07C5"/>
    <w:rsid w:val="001D0F36"/>
    <w:rsid w:val="001D2BE1"/>
    <w:rsid w:val="001D31BD"/>
    <w:rsid w:val="001D328B"/>
    <w:rsid w:val="001D6545"/>
    <w:rsid w:val="001E3BD6"/>
    <w:rsid w:val="001E4042"/>
    <w:rsid w:val="001E46A4"/>
    <w:rsid w:val="001F0334"/>
    <w:rsid w:val="001F0BD7"/>
    <w:rsid w:val="001F15A7"/>
    <w:rsid w:val="001F2229"/>
    <w:rsid w:val="001F4F9E"/>
    <w:rsid w:val="001F5C24"/>
    <w:rsid w:val="001F61E9"/>
    <w:rsid w:val="00204A46"/>
    <w:rsid w:val="00204B32"/>
    <w:rsid w:val="00205BB7"/>
    <w:rsid w:val="00206E65"/>
    <w:rsid w:val="00207704"/>
    <w:rsid w:val="002106EC"/>
    <w:rsid w:val="00210937"/>
    <w:rsid w:val="002113A7"/>
    <w:rsid w:val="00211991"/>
    <w:rsid w:val="0021214F"/>
    <w:rsid w:val="0021339F"/>
    <w:rsid w:val="00214646"/>
    <w:rsid w:val="0021504C"/>
    <w:rsid w:val="00215F2F"/>
    <w:rsid w:val="002204DA"/>
    <w:rsid w:val="00223591"/>
    <w:rsid w:val="002270A7"/>
    <w:rsid w:val="00227D25"/>
    <w:rsid w:val="00233B0A"/>
    <w:rsid w:val="002346A8"/>
    <w:rsid w:val="00234900"/>
    <w:rsid w:val="002366FF"/>
    <w:rsid w:val="0023751B"/>
    <w:rsid w:val="0024091E"/>
    <w:rsid w:val="00242E41"/>
    <w:rsid w:val="00243864"/>
    <w:rsid w:val="00243E9C"/>
    <w:rsid w:val="00246FE3"/>
    <w:rsid w:val="00247214"/>
    <w:rsid w:val="0025074F"/>
    <w:rsid w:val="00251063"/>
    <w:rsid w:val="00251EB0"/>
    <w:rsid w:val="00252357"/>
    <w:rsid w:val="00252D3C"/>
    <w:rsid w:val="002531D1"/>
    <w:rsid w:val="002539CB"/>
    <w:rsid w:val="00253A54"/>
    <w:rsid w:val="00257839"/>
    <w:rsid w:val="0025795B"/>
    <w:rsid w:val="00260DFC"/>
    <w:rsid w:val="002618E1"/>
    <w:rsid w:val="00262552"/>
    <w:rsid w:val="00262823"/>
    <w:rsid w:val="002634F3"/>
    <w:rsid w:val="0026428A"/>
    <w:rsid w:val="0026464D"/>
    <w:rsid w:val="00264989"/>
    <w:rsid w:val="002674CC"/>
    <w:rsid w:val="0026763A"/>
    <w:rsid w:val="00270FAC"/>
    <w:rsid w:val="002717DA"/>
    <w:rsid w:val="0027270C"/>
    <w:rsid w:val="0027702E"/>
    <w:rsid w:val="0027780D"/>
    <w:rsid w:val="002806BF"/>
    <w:rsid w:val="00281CBE"/>
    <w:rsid w:val="002841D9"/>
    <w:rsid w:val="0028424A"/>
    <w:rsid w:val="00284E19"/>
    <w:rsid w:val="00287339"/>
    <w:rsid w:val="00287CE6"/>
    <w:rsid w:val="00290F9C"/>
    <w:rsid w:val="00293349"/>
    <w:rsid w:val="002933D4"/>
    <w:rsid w:val="00295B88"/>
    <w:rsid w:val="00295BE5"/>
    <w:rsid w:val="0029604C"/>
    <w:rsid w:val="0029612C"/>
    <w:rsid w:val="002966A9"/>
    <w:rsid w:val="002A0420"/>
    <w:rsid w:val="002A17D4"/>
    <w:rsid w:val="002A1C0B"/>
    <w:rsid w:val="002A2278"/>
    <w:rsid w:val="002A4BC1"/>
    <w:rsid w:val="002A5047"/>
    <w:rsid w:val="002A70ED"/>
    <w:rsid w:val="002A7926"/>
    <w:rsid w:val="002B37B9"/>
    <w:rsid w:val="002B3AC6"/>
    <w:rsid w:val="002B3CBD"/>
    <w:rsid w:val="002B4A54"/>
    <w:rsid w:val="002B6107"/>
    <w:rsid w:val="002B6C66"/>
    <w:rsid w:val="002B7576"/>
    <w:rsid w:val="002C3F97"/>
    <w:rsid w:val="002C7AAE"/>
    <w:rsid w:val="002C7EEA"/>
    <w:rsid w:val="002D0C8F"/>
    <w:rsid w:val="002D0D54"/>
    <w:rsid w:val="002D1F2F"/>
    <w:rsid w:val="002D22BE"/>
    <w:rsid w:val="002D3195"/>
    <w:rsid w:val="002D3CF7"/>
    <w:rsid w:val="002D5AE3"/>
    <w:rsid w:val="002D6C6B"/>
    <w:rsid w:val="002D7059"/>
    <w:rsid w:val="002E0839"/>
    <w:rsid w:val="002E316F"/>
    <w:rsid w:val="002E3211"/>
    <w:rsid w:val="002E36FE"/>
    <w:rsid w:val="002E48D9"/>
    <w:rsid w:val="002E6AD8"/>
    <w:rsid w:val="002F16B2"/>
    <w:rsid w:val="002F23CF"/>
    <w:rsid w:val="002F4589"/>
    <w:rsid w:val="00300642"/>
    <w:rsid w:val="0030069C"/>
    <w:rsid w:val="00300F89"/>
    <w:rsid w:val="003032CB"/>
    <w:rsid w:val="003053C8"/>
    <w:rsid w:val="00305B65"/>
    <w:rsid w:val="003061E6"/>
    <w:rsid w:val="003072AC"/>
    <w:rsid w:val="003078FD"/>
    <w:rsid w:val="003101D3"/>
    <w:rsid w:val="00310A28"/>
    <w:rsid w:val="00314A20"/>
    <w:rsid w:val="00314BB0"/>
    <w:rsid w:val="00315582"/>
    <w:rsid w:val="003166A7"/>
    <w:rsid w:val="00317ABF"/>
    <w:rsid w:val="00320866"/>
    <w:rsid w:val="003227B3"/>
    <w:rsid w:val="00322B9F"/>
    <w:rsid w:val="00325B1D"/>
    <w:rsid w:val="00325C82"/>
    <w:rsid w:val="00327834"/>
    <w:rsid w:val="00327887"/>
    <w:rsid w:val="0033090C"/>
    <w:rsid w:val="003325E9"/>
    <w:rsid w:val="00332665"/>
    <w:rsid w:val="00332D72"/>
    <w:rsid w:val="00333C2A"/>
    <w:rsid w:val="003343FA"/>
    <w:rsid w:val="00335E3F"/>
    <w:rsid w:val="00336F2D"/>
    <w:rsid w:val="00340E4B"/>
    <w:rsid w:val="003412B4"/>
    <w:rsid w:val="00345023"/>
    <w:rsid w:val="003454C0"/>
    <w:rsid w:val="00346A74"/>
    <w:rsid w:val="00350A17"/>
    <w:rsid w:val="00350C2C"/>
    <w:rsid w:val="00352CAA"/>
    <w:rsid w:val="003535F5"/>
    <w:rsid w:val="003541EF"/>
    <w:rsid w:val="00356663"/>
    <w:rsid w:val="00362211"/>
    <w:rsid w:val="00362898"/>
    <w:rsid w:val="00362BCA"/>
    <w:rsid w:val="00362CF4"/>
    <w:rsid w:val="003631B9"/>
    <w:rsid w:val="00366659"/>
    <w:rsid w:val="00366CA3"/>
    <w:rsid w:val="00372702"/>
    <w:rsid w:val="003739B6"/>
    <w:rsid w:val="0037507C"/>
    <w:rsid w:val="00381767"/>
    <w:rsid w:val="00381B62"/>
    <w:rsid w:val="00382013"/>
    <w:rsid w:val="00383B83"/>
    <w:rsid w:val="00384BDB"/>
    <w:rsid w:val="003851CD"/>
    <w:rsid w:val="0038581F"/>
    <w:rsid w:val="00385827"/>
    <w:rsid w:val="003872D7"/>
    <w:rsid w:val="00390929"/>
    <w:rsid w:val="0039151B"/>
    <w:rsid w:val="00392083"/>
    <w:rsid w:val="00392849"/>
    <w:rsid w:val="003928CE"/>
    <w:rsid w:val="00393EFB"/>
    <w:rsid w:val="00393F7E"/>
    <w:rsid w:val="00395767"/>
    <w:rsid w:val="00396943"/>
    <w:rsid w:val="00396D80"/>
    <w:rsid w:val="0039744A"/>
    <w:rsid w:val="003A1874"/>
    <w:rsid w:val="003A2533"/>
    <w:rsid w:val="003A3BDA"/>
    <w:rsid w:val="003A3E5E"/>
    <w:rsid w:val="003A47F5"/>
    <w:rsid w:val="003A5463"/>
    <w:rsid w:val="003A6E4C"/>
    <w:rsid w:val="003B138A"/>
    <w:rsid w:val="003B1497"/>
    <w:rsid w:val="003B2232"/>
    <w:rsid w:val="003B34A8"/>
    <w:rsid w:val="003B3A76"/>
    <w:rsid w:val="003B3BFA"/>
    <w:rsid w:val="003B551D"/>
    <w:rsid w:val="003C0A53"/>
    <w:rsid w:val="003C1273"/>
    <w:rsid w:val="003C131F"/>
    <w:rsid w:val="003C33B0"/>
    <w:rsid w:val="003C56B3"/>
    <w:rsid w:val="003C6E69"/>
    <w:rsid w:val="003D1A5D"/>
    <w:rsid w:val="003D1EA0"/>
    <w:rsid w:val="003D59DD"/>
    <w:rsid w:val="003D6249"/>
    <w:rsid w:val="003D6264"/>
    <w:rsid w:val="003D6844"/>
    <w:rsid w:val="003E016D"/>
    <w:rsid w:val="003E21A3"/>
    <w:rsid w:val="003E28F1"/>
    <w:rsid w:val="003E3076"/>
    <w:rsid w:val="003E34F6"/>
    <w:rsid w:val="003E4254"/>
    <w:rsid w:val="003E60C6"/>
    <w:rsid w:val="003E64D9"/>
    <w:rsid w:val="003F1E32"/>
    <w:rsid w:val="0040167D"/>
    <w:rsid w:val="00403361"/>
    <w:rsid w:val="004055DA"/>
    <w:rsid w:val="00405B7E"/>
    <w:rsid w:val="00412BFC"/>
    <w:rsid w:val="004130F3"/>
    <w:rsid w:val="00417DF4"/>
    <w:rsid w:val="00421200"/>
    <w:rsid w:val="00422303"/>
    <w:rsid w:val="0042290D"/>
    <w:rsid w:val="00425CB0"/>
    <w:rsid w:val="00425CDE"/>
    <w:rsid w:val="0042675C"/>
    <w:rsid w:val="004302FC"/>
    <w:rsid w:val="0043034D"/>
    <w:rsid w:val="004305DF"/>
    <w:rsid w:val="00430BB3"/>
    <w:rsid w:val="00432339"/>
    <w:rsid w:val="004335B9"/>
    <w:rsid w:val="00437E1C"/>
    <w:rsid w:val="004406F1"/>
    <w:rsid w:val="00443326"/>
    <w:rsid w:val="00443C24"/>
    <w:rsid w:val="00447B85"/>
    <w:rsid w:val="00450AC1"/>
    <w:rsid w:val="00452537"/>
    <w:rsid w:val="0045397E"/>
    <w:rsid w:val="00454CD6"/>
    <w:rsid w:val="0045608E"/>
    <w:rsid w:val="00456276"/>
    <w:rsid w:val="00456689"/>
    <w:rsid w:val="00456E0A"/>
    <w:rsid w:val="0046098F"/>
    <w:rsid w:val="00460A28"/>
    <w:rsid w:val="00461486"/>
    <w:rsid w:val="00462A69"/>
    <w:rsid w:val="00462B40"/>
    <w:rsid w:val="004632C5"/>
    <w:rsid w:val="0046398E"/>
    <w:rsid w:val="004640F2"/>
    <w:rsid w:val="00464551"/>
    <w:rsid w:val="00464904"/>
    <w:rsid w:val="00464AF7"/>
    <w:rsid w:val="00465D61"/>
    <w:rsid w:val="00465EE0"/>
    <w:rsid w:val="00467D1B"/>
    <w:rsid w:val="00472679"/>
    <w:rsid w:val="004756EB"/>
    <w:rsid w:val="00476561"/>
    <w:rsid w:val="004776EA"/>
    <w:rsid w:val="004810CB"/>
    <w:rsid w:val="00481539"/>
    <w:rsid w:val="00481BE3"/>
    <w:rsid w:val="004862A3"/>
    <w:rsid w:val="00486753"/>
    <w:rsid w:val="004916DE"/>
    <w:rsid w:val="004928F7"/>
    <w:rsid w:val="00493690"/>
    <w:rsid w:val="0049522B"/>
    <w:rsid w:val="00495864"/>
    <w:rsid w:val="00496E7E"/>
    <w:rsid w:val="0049757E"/>
    <w:rsid w:val="004977E6"/>
    <w:rsid w:val="004A2F8D"/>
    <w:rsid w:val="004A359C"/>
    <w:rsid w:val="004A3897"/>
    <w:rsid w:val="004A5220"/>
    <w:rsid w:val="004A526F"/>
    <w:rsid w:val="004A6E3A"/>
    <w:rsid w:val="004B48CC"/>
    <w:rsid w:val="004B5F5A"/>
    <w:rsid w:val="004C2D29"/>
    <w:rsid w:val="004C2E22"/>
    <w:rsid w:val="004C4176"/>
    <w:rsid w:val="004C5A97"/>
    <w:rsid w:val="004C5D5E"/>
    <w:rsid w:val="004C5DD7"/>
    <w:rsid w:val="004D073C"/>
    <w:rsid w:val="004D3EA2"/>
    <w:rsid w:val="004E0D2C"/>
    <w:rsid w:val="004E20CA"/>
    <w:rsid w:val="004E3078"/>
    <w:rsid w:val="004E4138"/>
    <w:rsid w:val="004E42A2"/>
    <w:rsid w:val="004E7EEF"/>
    <w:rsid w:val="004F026F"/>
    <w:rsid w:val="004F1621"/>
    <w:rsid w:val="004F21F3"/>
    <w:rsid w:val="004F29CC"/>
    <w:rsid w:val="004F2BC5"/>
    <w:rsid w:val="004F343E"/>
    <w:rsid w:val="004F392D"/>
    <w:rsid w:val="004F5E40"/>
    <w:rsid w:val="00500512"/>
    <w:rsid w:val="00501948"/>
    <w:rsid w:val="00502218"/>
    <w:rsid w:val="00502BBD"/>
    <w:rsid w:val="00504516"/>
    <w:rsid w:val="005054A3"/>
    <w:rsid w:val="00507A41"/>
    <w:rsid w:val="0051435B"/>
    <w:rsid w:val="005171F0"/>
    <w:rsid w:val="005215A3"/>
    <w:rsid w:val="00521881"/>
    <w:rsid w:val="005218A1"/>
    <w:rsid w:val="00522305"/>
    <w:rsid w:val="00522F1E"/>
    <w:rsid w:val="00523305"/>
    <w:rsid w:val="005266D0"/>
    <w:rsid w:val="00527830"/>
    <w:rsid w:val="0053116C"/>
    <w:rsid w:val="00534A1A"/>
    <w:rsid w:val="00534D81"/>
    <w:rsid w:val="00535FB8"/>
    <w:rsid w:val="00536281"/>
    <w:rsid w:val="00536CAC"/>
    <w:rsid w:val="005415AA"/>
    <w:rsid w:val="00541A8E"/>
    <w:rsid w:val="00546547"/>
    <w:rsid w:val="005466C9"/>
    <w:rsid w:val="0054778A"/>
    <w:rsid w:val="005514A0"/>
    <w:rsid w:val="005531FF"/>
    <w:rsid w:val="005561CE"/>
    <w:rsid w:val="00556840"/>
    <w:rsid w:val="00560B2F"/>
    <w:rsid w:val="00560B48"/>
    <w:rsid w:val="00560EBF"/>
    <w:rsid w:val="0056270D"/>
    <w:rsid w:val="00563B2F"/>
    <w:rsid w:val="00566B1B"/>
    <w:rsid w:val="00566CEC"/>
    <w:rsid w:val="00567047"/>
    <w:rsid w:val="00567BAA"/>
    <w:rsid w:val="005703DD"/>
    <w:rsid w:val="005716F9"/>
    <w:rsid w:val="00572314"/>
    <w:rsid w:val="00574723"/>
    <w:rsid w:val="00574797"/>
    <w:rsid w:val="0057738F"/>
    <w:rsid w:val="00577E68"/>
    <w:rsid w:val="00580B41"/>
    <w:rsid w:val="00580C04"/>
    <w:rsid w:val="005815A5"/>
    <w:rsid w:val="0058179A"/>
    <w:rsid w:val="00581A26"/>
    <w:rsid w:val="005829C2"/>
    <w:rsid w:val="00591711"/>
    <w:rsid w:val="00594072"/>
    <w:rsid w:val="005975EB"/>
    <w:rsid w:val="005A01F3"/>
    <w:rsid w:val="005A1201"/>
    <w:rsid w:val="005A148A"/>
    <w:rsid w:val="005A1D2F"/>
    <w:rsid w:val="005A23E3"/>
    <w:rsid w:val="005A37B6"/>
    <w:rsid w:val="005A4565"/>
    <w:rsid w:val="005A62A1"/>
    <w:rsid w:val="005A7351"/>
    <w:rsid w:val="005A7A34"/>
    <w:rsid w:val="005B2D19"/>
    <w:rsid w:val="005B3938"/>
    <w:rsid w:val="005B5049"/>
    <w:rsid w:val="005B5F41"/>
    <w:rsid w:val="005C0A88"/>
    <w:rsid w:val="005C2839"/>
    <w:rsid w:val="005C37CB"/>
    <w:rsid w:val="005C401B"/>
    <w:rsid w:val="005C5C9A"/>
    <w:rsid w:val="005C647A"/>
    <w:rsid w:val="005C6F9F"/>
    <w:rsid w:val="005C7DE4"/>
    <w:rsid w:val="005D0EC5"/>
    <w:rsid w:val="005D232D"/>
    <w:rsid w:val="005D46AB"/>
    <w:rsid w:val="005D55DB"/>
    <w:rsid w:val="005E07DC"/>
    <w:rsid w:val="005E1155"/>
    <w:rsid w:val="005E5483"/>
    <w:rsid w:val="005E6181"/>
    <w:rsid w:val="005E6955"/>
    <w:rsid w:val="005F0681"/>
    <w:rsid w:val="005F1A5A"/>
    <w:rsid w:val="005F27A9"/>
    <w:rsid w:val="005F377C"/>
    <w:rsid w:val="005F37E4"/>
    <w:rsid w:val="005F3E2A"/>
    <w:rsid w:val="005F44E7"/>
    <w:rsid w:val="005F4A45"/>
    <w:rsid w:val="006027FB"/>
    <w:rsid w:val="00604FE9"/>
    <w:rsid w:val="006101AA"/>
    <w:rsid w:val="0061142C"/>
    <w:rsid w:val="006123BC"/>
    <w:rsid w:val="006133BB"/>
    <w:rsid w:val="00614BA6"/>
    <w:rsid w:val="006163A5"/>
    <w:rsid w:val="006220F2"/>
    <w:rsid w:val="00623C28"/>
    <w:rsid w:val="00626B74"/>
    <w:rsid w:val="006270DC"/>
    <w:rsid w:val="00627E6A"/>
    <w:rsid w:val="00631F43"/>
    <w:rsid w:val="00632A70"/>
    <w:rsid w:val="00634447"/>
    <w:rsid w:val="00634BD5"/>
    <w:rsid w:val="00634CA7"/>
    <w:rsid w:val="00635C52"/>
    <w:rsid w:val="00636429"/>
    <w:rsid w:val="0063687E"/>
    <w:rsid w:val="00640F9D"/>
    <w:rsid w:val="00641115"/>
    <w:rsid w:val="0064255E"/>
    <w:rsid w:val="006430A4"/>
    <w:rsid w:val="006438D6"/>
    <w:rsid w:val="006466D7"/>
    <w:rsid w:val="006548FA"/>
    <w:rsid w:val="0065581D"/>
    <w:rsid w:val="0065678C"/>
    <w:rsid w:val="006571A6"/>
    <w:rsid w:val="00657524"/>
    <w:rsid w:val="006608A4"/>
    <w:rsid w:val="00661751"/>
    <w:rsid w:val="0066205B"/>
    <w:rsid w:val="00664200"/>
    <w:rsid w:val="00664611"/>
    <w:rsid w:val="00665A87"/>
    <w:rsid w:val="006701AC"/>
    <w:rsid w:val="00671514"/>
    <w:rsid w:val="00674317"/>
    <w:rsid w:val="006745A2"/>
    <w:rsid w:val="00674D38"/>
    <w:rsid w:val="00677D20"/>
    <w:rsid w:val="0068071E"/>
    <w:rsid w:val="00680F2B"/>
    <w:rsid w:val="006824B0"/>
    <w:rsid w:val="0069045A"/>
    <w:rsid w:val="00691FBC"/>
    <w:rsid w:val="00694204"/>
    <w:rsid w:val="00694C14"/>
    <w:rsid w:val="00694DB0"/>
    <w:rsid w:val="0069567E"/>
    <w:rsid w:val="006971BB"/>
    <w:rsid w:val="006A0A34"/>
    <w:rsid w:val="006A235F"/>
    <w:rsid w:val="006A2C67"/>
    <w:rsid w:val="006A34E5"/>
    <w:rsid w:val="006A439B"/>
    <w:rsid w:val="006A6047"/>
    <w:rsid w:val="006A7C76"/>
    <w:rsid w:val="006B01CC"/>
    <w:rsid w:val="006B45C2"/>
    <w:rsid w:val="006C09B7"/>
    <w:rsid w:val="006C1247"/>
    <w:rsid w:val="006C4545"/>
    <w:rsid w:val="006D58A0"/>
    <w:rsid w:val="006E143C"/>
    <w:rsid w:val="006E3DC6"/>
    <w:rsid w:val="006E5B50"/>
    <w:rsid w:val="006F0F37"/>
    <w:rsid w:val="006F2884"/>
    <w:rsid w:val="006F2AC1"/>
    <w:rsid w:val="006F2CF0"/>
    <w:rsid w:val="006F3B2C"/>
    <w:rsid w:val="006F3FD0"/>
    <w:rsid w:val="006F4202"/>
    <w:rsid w:val="006F5A62"/>
    <w:rsid w:val="006F5F76"/>
    <w:rsid w:val="006F6048"/>
    <w:rsid w:val="0070024A"/>
    <w:rsid w:val="00701F9E"/>
    <w:rsid w:val="00704444"/>
    <w:rsid w:val="00704C5C"/>
    <w:rsid w:val="00705C00"/>
    <w:rsid w:val="00710549"/>
    <w:rsid w:val="00712AD5"/>
    <w:rsid w:val="00714482"/>
    <w:rsid w:val="00714DF1"/>
    <w:rsid w:val="00717A52"/>
    <w:rsid w:val="0072605A"/>
    <w:rsid w:val="0073151A"/>
    <w:rsid w:val="00731A7E"/>
    <w:rsid w:val="00732EA3"/>
    <w:rsid w:val="00734470"/>
    <w:rsid w:val="0073592C"/>
    <w:rsid w:val="00736769"/>
    <w:rsid w:val="00736E94"/>
    <w:rsid w:val="0073777A"/>
    <w:rsid w:val="00740CE4"/>
    <w:rsid w:val="00741F58"/>
    <w:rsid w:val="007420D3"/>
    <w:rsid w:val="00742AFB"/>
    <w:rsid w:val="00742B6B"/>
    <w:rsid w:val="007438E4"/>
    <w:rsid w:val="00744AF2"/>
    <w:rsid w:val="00752435"/>
    <w:rsid w:val="00753C9F"/>
    <w:rsid w:val="00756C8A"/>
    <w:rsid w:val="0075786B"/>
    <w:rsid w:val="0076043D"/>
    <w:rsid w:val="007664B2"/>
    <w:rsid w:val="00767442"/>
    <w:rsid w:val="00770C76"/>
    <w:rsid w:val="00770D4D"/>
    <w:rsid w:val="00773CF1"/>
    <w:rsid w:val="007768D9"/>
    <w:rsid w:val="00776DAC"/>
    <w:rsid w:val="00780592"/>
    <w:rsid w:val="00781687"/>
    <w:rsid w:val="00781A15"/>
    <w:rsid w:val="00781D3D"/>
    <w:rsid w:val="00784559"/>
    <w:rsid w:val="0078615F"/>
    <w:rsid w:val="0078717D"/>
    <w:rsid w:val="0078786E"/>
    <w:rsid w:val="0078789F"/>
    <w:rsid w:val="00790DD8"/>
    <w:rsid w:val="00792E93"/>
    <w:rsid w:val="0079445B"/>
    <w:rsid w:val="00795CAB"/>
    <w:rsid w:val="007A0136"/>
    <w:rsid w:val="007A1ECB"/>
    <w:rsid w:val="007A289A"/>
    <w:rsid w:val="007A35DD"/>
    <w:rsid w:val="007A4523"/>
    <w:rsid w:val="007A73B2"/>
    <w:rsid w:val="007B11CE"/>
    <w:rsid w:val="007B1770"/>
    <w:rsid w:val="007B412B"/>
    <w:rsid w:val="007B42A9"/>
    <w:rsid w:val="007B44FD"/>
    <w:rsid w:val="007B6236"/>
    <w:rsid w:val="007B6447"/>
    <w:rsid w:val="007B6C63"/>
    <w:rsid w:val="007B732D"/>
    <w:rsid w:val="007C102E"/>
    <w:rsid w:val="007C28FC"/>
    <w:rsid w:val="007C2DCC"/>
    <w:rsid w:val="007C59CF"/>
    <w:rsid w:val="007C5DD8"/>
    <w:rsid w:val="007C7ECB"/>
    <w:rsid w:val="007D18B2"/>
    <w:rsid w:val="007D1913"/>
    <w:rsid w:val="007D2E0E"/>
    <w:rsid w:val="007D30CD"/>
    <w:rsid w:val="007D41B6"/>
    <w:rsid w:val="007D4234"/>
    <w:rsid w:val="007D46B5"/>
    <w:rsid w:val="007D5DD1"/>
    <w:rsid w:val="007D63BE"/>
    <w:rsid w:val="007E0DAD"/>
    <w:rsid w:val="007E2E1F"/>
    <w:rsid w:val="007E56C3"/>
    <w:rsid w:val="007E6CA3"/>
    <w:rsid w:val="007E7BAE"/>
    <w:rsid w:val="007F45B1"/>
    <w:rsid w:val="007F62A4"/>
    <w:rsid w:val="00802C3D"/>
    <w:rsid w:val="00803D06"/>
    <w:rsid w:val="0080484A"/>
    <w:rsid w:val="008071DF"/>
    <w:rsid w:val="00807BC5"/>
    <w:rsid w:val="00812A91"/>
    <w:rsid w:val="00812DE2"/>
    <w:rsid w:val="00813EC0"/>
    <w:rsid w:val="00814B03"/>
    <w:rsid w:val="008150FB"/>
    <w:rsid w:val="00815770"/>
    <w:rsid w:val="00823EB8"/>
    <w:rsid w:val="00824E0D"/>
    <w:rsid w:val="00824F02"/>
    <w:rsid w:val="008253AA"/>
    <w:rsid w:val="00827DBD"/>
    <w:rsid w:val="00830F35"/>
    <w:rsid w:val="008339F3"/>
    <w:rsid w:val="008402E6"/>
    <w:rsid w:val="00841534"/>
    <w:rsid w:val="008421B3"/>
    <w:rsid w:val="00843A82"/>
    <w:rsid w:val="008443F0"/>
    <w:rsid w:val="00844832"/>
    <w:rsid w:val="008453D8"/>
    <w:rsid w:val="008456A3"/>
    <w:rsid w:val="008460CE"/>
    <w:rsid w:val="008505D3"/>
    <w:rsid w:val="008509AD"/>
    <w:rsid w:val="008515E6"/>
    <w:rsid w:val="0085238F"/>
    <w:rsid w:val="00857B65"/>
    <w:rsid w:val="008612F9"/>
    <w:rsid w:val="00863202"/>
    <w:rsid w:val="0086320A"/>
    <w:rsid w:val="008638E4"/>
    <w:rsid w:val="00864BCD"/>
    <w:rsid w:val="0086521E"/>
    <w:rsid w:val="008671A5"/>
    <w:rsid w:val="00867B36"/>
    <w:rsid w:val="008734E1"/>
    <w:rsid w:val="00873A33"/>
    <w:rsid w:val="0087437A"/>
    <w:rsid w:val="00874C6F"/>
    <w:rsid w:val="00874EE7"/>
    <w:rsid w:val="00875008"/>
    <w:rsid w:val="00876EB4"/>
    <w:rsid w:val="00876EC7"/>
    <w:rsid w:val="0088165B"/>
    <w:rsid w:val="00883984"/>
    <w:rsid w:val="00886127"/>
    <w:rsid w:val="008939B4"/>
    <w:rsid w:val="0089428B"/>
    <w:rsid w:val="00895027"/>
    <w:rsid w:val="00896831"/>
    <w:rsid w:val="008A0448"/>
    <w:rsid w:val="008A0FA9"/>
    <w:rsid w:val="008A190E"/>
    <w:rsid w:val="008A1A10"/>
    <w:rsid w:val="008A2709"/>
    <w:rsid w:val="008A2B5F"/>
    <w:rsid w:val="008A4F19"/>
    <w:rsid w:val="008A4FB9"/>
    <w:rsid w:val="008A5814"/>
    <w:rsid w:val="008A5BFE"/>
    <w:rsid w:val="008A62C0"/>
    <w:rsid w:val="008A78B8"/>
    <w:rsid w:val="008B01BE"/>
    <w:rsid w:val="008B2010"/>
    <w:rsid w:val="008B2A75"/>
    <w:rsid w:val="008B3BCA"/>
    <w:rsid w:val="008B416F"/>
    <w:rsid w:val="008B50F3"/>
    <w:rsid w:val="008B527A"/>
    <w:rsid w:val="008B5608"/>
    <w:rsid w:val="008B5AC6"/>
    <w:rsid w:val="008B5C9E"/>
    <w:rsid w:val="008B714D"/>
    <w:rsid w:val="008B7D9C"/>
    <w:rsid w:val="008C0CE0"/>
    <w:rsid w:val="008C293E"/>
    <w:rsid w:val="008C354E"/>
    <w:rsid w:val="008C3833"/>
    <w:rsid w:val="008C54D8"/>
    <w:rsid w:val="008C6EF5"/>
    <w:rsid w:val="008D010E"/>
    <w:rsid w:val="008D01AD"/>
    <w:rsid w:val="008D03F3"/>
    <w:rsid w:val="008D0552"/>
    <w:rsid w:val="008D1DD8"/>
    <w:rsid w:val="008D2F4B"/>
    <w:rsid w:val="008D366D"/>
    <w:rsid w:val="008D36E5"/>
    <w:rsid w:val="008D59E5"/>
    <w:rsid w:val="008E13D6"/>
    <w:rsid w:val="008E3806"/>
    <w:rsid w:val="008E39FF"/>
    <w:rsid w:val="008E48BB"/>
    <w:rsid w:val="008E5F82"/>
    <w:rsid w:val="008F151B"/>
    <w:rsid w:val="008F1EBE"/>
    <w:rsid w:val="008F20E3"/>
    <w:rsid w:val="008F4385"/>
    <w:rsid w:val="008F4E30"/>
    <w:rsid w:val="008F559F"/>
    <w:rsid w:val="008F6449"/>
    <w:rsid w:val="009010C0"/>
    <w:rsid w:val="0090128E"/>
    <w:rsid w:val="009049E9"/>
    <w:rsid w:val="009051C7"/>
    <w:rsid w:val="0090730C"/>
    <w:rsid w:val="00910FF9"/>
    <w:rsid w:val="00913E7A"/>
    <w:rsid w:val="0092165A"/>
    <w:rsid w:val="00922B2D"/>
    <w:rsid w:val="00923889"/>
    <w:rsid w:val="00923BE0"/>
    <w:rsid w:val="009240CE"/>
    <w:rsid w:val="00924ACC"/>
    <w:rsid w:val="00926765"/>
    <w:rsid w:val="009279A6"/>
    <w:rsid w:val="00931B51"/>
    <w:rsid w:val="00931B53"/>
    <w:rsid w:val="00936C76"/>
    <w:rsid w:val="009371C1"/>
    <w:rsid w:val="009400A5"/>
    <w:rsid w:val="0094053C"/>
    <w:rsid w:val="00943128"/>
    <w:rsid w:val="00943791"/>
    <w:rsid w:val="00945560"/>
    <w:rsid w:val="009456EB"/>
    <w:rsid w:val="0094619B"/>
    <w:rsid w:val="009467C8"/>
    <w:rsid w:val="00951B29"/>
    <w:rsid w:val="00952EB5"/>
    <w:rsid w:val="00952FA5"/>
    <w:rsid w:val="00952FD8"/>
    <w:rsid w:val="0095578C"/>
    <w:rsid w:val="0096017C"/>
    <w:rsid w:val="00961658"/>
    <w:rsid w:val="00962ACA"/>
    <w:rsid w:val="009630BD"/>
    <w:rsid w:val="00964003"/>
    <w:rsid w:val="00964A84"/>
    <w:rsid w:val="00964BE0"/>
    <w:rsid w:val="00970373"/>
    <w:rsid w:val="00970AD6"/>
    <w:rsid w:val="009722A5"/>
    <w:rsid w:val="009726E2"/>
    <w:rsid w:val="00973FAB"/>
    <w:rsid w:val="009779F2"/>
    <w:rsid w:val="009817A5"/>
    <w:rsid w:val="00981DC6"/>
    <w:rsid w:val="00982123"/>
    <w:rsid w:val="00983CC1"/>
    <w:rsid w:val="009847F7"/>
    <w:rsid w:val="009865F8"/>
    <w:rsid w:val="00987859"/>
    <w:rsid w:val="00987FB6"/>
    <w:rsid w:val="009922D6"/>
    <w:rsid w:val="00992D96"/>
    <w:rsid w:val="0099477B"/>
    <w:rsid w:val="00994ABD"/>
    <w:rsid w:val="00995357"/>
    <w:rsid w:val="00995864"/>
    <w:rsid w:val="0099597F"/>
    <w:rsid w:val="0099643E"/>
    <w:rsid w:val="009A0207"/>
    <w:rsid w:val="009A04A6"/>
    <w:rsid w:val="009A10FA"/>
    <w:rsid w:val="009A19D4"/>
    <w:rsid w:val="009A325A"/>
    <w:rsid w:val="009A357C"/>
    <w:rsid w:val="009A4FF3"/>
    <w:rsid w:val="009A568C"/>
    <w:rsid w:val="009A5E8C"/>
    <w:rsid w:val="009A6061"/>
    <w:rsid w:val="009A64ED"/>
    <w:rsid w:val="009A7444"/>
    <w:rsid w:val="009B2919"/>
    <w:rsid w:val="009B3297"/>
    <w:rsid w:val="009B4175"/>
    <w:rsid w:val="009B657F"/>
    <w:rsid w:val="009B721E"/>
    <w:rsid w:val="009B7B24"/>
    <w:rsid w:val="009C0C48"/>
    <w:rsid w:val="009C0EF2"/>
    <w:rsid w:val="009C1BC9"/>
    <w:rsid w:val="009C22B4"/>
    <w:rsid w:val="009C2490"/>
    <w:rsid w:val="009C2E94"/>
    <w:rsid w:val="009C31C4"/>
    <w:rsid w:val="009C6C88"/>
    <w:rsid w:val="009C71F8"/>
    <w:rsid w:val="009C7F89"/>
    <w:rsid w:val="009D0150"/>
    <w:rsid w:val="009D0EFC"/>
    <w:rsid w:val="009D1D1A"/>
    <w:rsid w:val="009D4356"/>
    <w:rsid w:val="009E0F91"/>
    <w:rsid w:val="009E15FE"/>
    <w:rsid w:val="009E2981"/>
    <w:rsid w:val="009E37B4"/>
    <w:rsid w:val="009E4467"/>
    <w:rsid w:val="009E57EF"/>
    <w:rsid w:val="009E5A30"/>
    <w:rsid w:val="009E6C9E"/>
    <w:rsid w:val="009E7DB9"/>
    <w:rsid w:val="009F0948"/>
    <w:rsid w:val="009F0BB0"/>
    <w:rsid w:val="009F1F95"/>
    <w:rsid w:val="009F3433"/>
    <w:rsid w:val="009F347D"/>
    <w:rsid w:val="009F4081"/>
    <w:rsid w:val="00A0071E"/>
    <w:rsid w:val="00A0225B"/>
    <w:rsid w:val="00A0275E"/>
    <w:rsid w:val="00A03628"/>
    <w:rsid w:val="00A03BD1"/>
    <w:rsid w:val="00A0446B"/>
    <w:rsid w:val="00A06639"/>
    <w:rsid w:val="00A06A9F"/>
    <w:rsid w:val="00A07171"/>
    <w:rsid w:val="00A07C55"/>
    <w:rsid w:val="00A131A0"/>
    <w:rsid w:val="00A1383C"/>
    <w:rsid w:val="00A147B8"/>
    <w:rsid w:val="00A150A2"/>
    <w:rsid w:val="00A1516C"/>
    <w:rsid w:val="00A15282"/>
    <w:rsid w:val="00A15C1D"/>
    <w:rsid w:val="00A15D05"/>
    <w:rsid w:val="00A1719B"/>
    <w:rsid w:val="00A171F1"/>
    <w:rsid w:val="00A176A9"/>
    <w:rsid w:val="00A2185B"/>
    <w:rsid w:val="00A2274B"/>
    <w:rsid w:val="00A2375D"/>
    <w:rsid w:val="00A240BD"/>
    <w:rsid w:val="00A267F6"/>
    <w:rsid w:val="00A32B48"/>
    <w:rsid w:val="00A34137"/>
    <w:rsid w:val="00A359B7"/>
    <w:rsid w:val="00A35E38"/>
    <w:rsid w:val="00A36211"/>
    <w:rsid w:val="00A36F48"/>
    <w:rsid w:val="00A372BF"/>
    <w:rsid w:val="00A37349"/>
    <w:rsid w:val="00A403F9"/>
    <w:rsid w:val="00A414BE"/>
    <w:rsid w:val="00A42E62"/>
    <w:rsid w:val="00A432C0"/>
    <w:rsid w:val="00A43598"/>
    <w:rsid w:val="00A44631"/>
    <w:rsid w:val="00A44791"/>
    <w:rsid w:val="00A44A7F"/>
    <w:rsid w:val="00A45534"/>
    <w:rsid w:val="00A50DE3"/>
    <w:rsid w:val="00A51C7B"/>
    <w:rsid w:val="00A51F5C"/>
    <w:rsid w:val="00A52C4D"/>
    <w:rsid w:val="00A53A2A"/>
    <w:rsid w:val="00A54005"/>
    <w:rsid w:val="00A54359"/>
    <w:rsid w:val="00A55B98"/>
    <w:rsid w:val="00A569BF"/>
    <w:rsid w:val="00A5730C"/>
    <w:rsid w:val="00A60612"/>
    <w:rsid w:val="00A63A98"/>
    <w:rsid w:val="00A645C6"/>
    <w:rsid w:val="00A64B05"/>
    <w:rsid w:val="00A6549E"/>
    <w:rsid w:val="00A66916"/>
    <w:rsid w:val="00A679CC"/>
    <w:rsid w:val="00A71AC7"/>
    <w:rsid w:val="00A722A8"/>
    <w:rsid w:val="00A72948"/>
    <w:rsid w:val="00A73C81"/>
    <w:rsid w:val="00A756FC"/>
    <w:rsid w:val="00A7614E"/>
    <w:rsid w:val="00A7712D"/>
    <w:rsid w:val="00A7796D"/>
    <w:rsid w:val="00A801BA"/>
    <w:rsid w:val="00A8072F"/>
    <w:rsid w:val="00A813A7"/>
    <w:rsid w:val="00A82732"/>
    <w:rsid w:val="00A8365A"/>
    <w:rsid w:val="00A83B1E"/>
    <w:rsid w:val="00A85C32"/>
    <w:rsid w:val="00A85F4A"/>
    <w:rsid w:val="00A86EA1"/>
    <w:rsid w:val="00A90CA0"/>
    <w:rsid w:val="00A92752"/>
    <w:rsid w:val="00A92AE2"/>
    <w:rsid w:val="00A965EF"/>
    <w:rsid w:val="00A967E4"/>
    <w:rsid w:val="00AA1504"/>
    <w:rsid w:val="00AA2221"/>
    <w:rsid w:val="00AA4F79"/>
    <w:rsid w:val="00AA6740"/>
    <w:rsid w:val="00AA756E"/>
    <w:rsid w:val="00AB0F35"/>
    <w:rsid w:val="00AB0FB1"/>
    <w:rsid w:val="00AB107E"/>
    <w:rsid w:val="00AB169D"/>
    <w:rsid w:val="00AB22B8"/>
    <w:rsid w:val="00AB6161"/>
    <w:rsid w:val="00AC050E"/>
    <w:rsid w:val="00AC09FD"/>
    <w:rsid w:val="00AC2CF4"/>
    <w:rsid w:val="00AC34A3"/>
    <w:rsid w:val="00AC3BE1"/>
    <w:rsid w:val="00AC4254"/>
    <w:rsid w:val="00AC4A17"/>
    <w:rsid w:val="00AC4D97"/>
    <w:rsid w:val="00AC6340"/>
    <w:rsid w:val="00AC6C93"/>
    <w:rsid w:val="00AD0857"/>
    <w:rsid w:val="00AD21F2"/>
    <w:rsid w:val="00AD224D"/>
    <w:rsid w:val="00AD2470"/>
    <w:rsid w:val="00AD3087"/>
    <w:rsid w:val="00AD5DC3"/>
    <w:rsid w:val="00AD5E89"/>
    <w:rsid w:val="00AD6264"/>
    <w:rsid w:val="00AD66F5"/>
    <w:rsid w:val="00AD72E8"/>
    <w:rsid w:val="00AD74DC"/>
    <w:rsid w:val="00AE466E"/>
    <w:rsid w:val="00AE6E03"/>
    <w:rsid w:val="00AE6E7D"/>
    <w:rsid w:val="00AF196A"/>
    <w:rsid w:val="00AF256B"/>
    <w:rsid w:val="00AF5BA5"/>
    <w:rsid w:val="00AF6AE8"/>
    <w:rsid w:val="00AF6ED1"/>
    <w:rsid w:val="00AF73B8"/>
    <w:rsid w:val="00B00D71"/>
    <w:rsid w:val="00B01AD9"/>
    <w:rsid w:val="00B030B2"/>
    <w:rsid w:val="00B034A7"/>
    <w:rsid w:val="00B05425"/>
    <w:rsid w:val="00B0646C"/>
    <w:rsid w:val="00B06651"/>
    <w:rsid w:val="00B066F0"/>
    <w:rsid w:val="00B07250"/>
    <w:rsid w:val="00B100B1"/>
    <w:rsid w:val="00B10807"/>
    <w:rsid w:val="00B1101E"/>
    <w:rsid w:val="00B1165C"/>
    <w:rsid w:val="00B11851"/>
    <w:rsid w:val="00B12623"/>
    <w:rsid w:val="00B12642"/>
    <w:rsid w:val="00B1400A"/>
    <w:rsid w:val="00B144DD"/>
    <w:rsid w:val="00B14967"/>
    <w:rsid w:val="00B15B51"/>
    <w:rsid w:val="00B20C43"/>
    <w:rsid w:val="00B20CAE"/>
    <w:rsid w:val="00B25FE7"/>
    <w:rsid w:val="00B27D0A"/>
    <w:rsid w:val="00B31147"/>
    <w:rsid w:val="00B348BC"/>
    <w:rsid w:val="00B36B1A"/>
    <w:rsid w:val="00B37472"/>
    <w:rsid w:val="00B41CE8"/>
    <w:rsid w:val="00B43136"/>
    <w:rsid w:val="00B435C2"/>
    <w:rsid w:val="00B461B4"/>
    <w:rsid w:val="00B521D8"/>
    <w:rsid w:val="00B5517F"/>
    <w:rsid w:val="00B553AD"/>
    <w:rsid w:val="00B560FD"/>
    <w:rsid w:val="00B5683B"/>
    <w:rsid w:val="00B5704D"/>
    <w:rsid w:val="00B6150F"/>
    <w:rsid w:val="00B62AFA"/>
    <w:rsid w:val="00B63CFD"/>
    <w:rsid w:val="00B641AD"/>
    <w:rsid w:val="00B64813"/>
    <w:rsid w:val="00B66A93"/>
    <w:rsid w:val="00B71950"/>
    <w:rsid w:val="00B72264"/>
    <w:rsid w:val="00B7243A"/>
    <w:rsid w:val="00B72B9E"/>
    <w:rsid w:val="00B73083"/>
    <w:rsid w:val="00B73B9D"/>
    <w:rsid w:val="00B755BC"/>
    <w:rsid w:val="00B758FF"/>
    <w:rsid w:val="00B77669"/>
    <w:rsid w:val="00B82C22"/>
    <w:rsid w:val="00B83115"/>
    <w:rsid w:val="00B85A81"/>
    <w:rsid w:val="00B85BC7"/>
    <w:rsid w:val="00B910EB"/>
    <w:rsid w:val="00B92701"/>
    <w:rsid w:val="00B9384A"/>
    <w:rsid w:val="00B95531"/>
    <w:rsid w:val="00B960FB"/>
    <w:rsid w:val="00B967B9"/>
    <w:rsid w:val="00B9706A"/>
    <w:rsid w:val="00BA1418"/>
    <w:rsid w:val="00BA155C"/>
    <w:rsid w:val="00BA2AC8"/>
    <w:rsid w:val="00BA2ADD"/>
    <w:rsid w:val="00BA2C6F"/>
    <w:rsid w:val="00BA4779"/>
    <w:rsid w:val="00BA6083"/>
    <w:rsid w:val="00BA6CC8"/>
    <w:rsid w:val="00BA6EF5"/>
    <w:rsid w:val="00BB2A3E"/>
    <w:rsid w:val="00BB2D76"/>
    <w:rsid w:val="00BB3AEB"/>
    <w:rsid w:val="00BB3BA6"/>
    <w:rsid w:val="00BB4A47"/>
    <w:rsid w:val="00BB570D"/>
    <w:rsid w:val="00BB767C"/>
    <w:rsid w:val="00BC23E4"/>
    <w:rsid w:val="00BC3A20"/>
    <w:rsid w:val="00BC3FDB"/>
    <w:rsid w:val="00BC42FA"/>
    <w:rsid w:val="00BC50D1"/>
    <w:rsid w:val="00BC5852"/>
    <w:rsid w:val="00BC6622"/>
    <w:rsid w:val="00BC744B"/>
    <w:rsid w:val="00BD0043"/>
    <w:rsid w:val="00BD13E7"/>
    <w:rsid w:val="00BD1C2A"/>
    <w:rsid w:val="00BD210A"/>
    <w:rsid w:val="00BD2142"/>
    <w:rsid w:val="00BD70BB"/>
    <w:rsid w:val="00BE0A81"/>
    <w:rsid w:val="00BE1FFB"/>
    <w:rsid w:val="00BE26B4"/>
    <w:rsid w:val="00BE6D42"/>
    <w:rsid w:val="00BE71DB"/>
    <w:rsid w:val="00BE7584"/>
    <w:rsid w:val="00BE79C0"/>
    <w:rsid w:val="00BE79C5"/>
    <w:rsid w:val="00BF1174"/>
    <w:rsid w:val="00BF240B"/>
    <w:rsid w:val="00BF71A3"/>
    <w:rsid w:val="00BF788A"/>
    <w:rsid w:val="00C01586"/>
    <w:rsid w:val="00C01A3B"/>
    <w:rsid w:val="00C04C57"/>
    <w:rsid w:val="00C07A32"/>
    <w:rsid w:val="00C1113C"/>
    <w:rsid w:val="00C11968"/>
    <w:rsid w:val="00C12C54"/>
    <w:rsid w:val="00C14413"/>
    <w:rsid w:val="00C21963"/>
    <w:rsid w:val="00C22640"/>
    <w:rsid w:val="00C242C1"/>
    <w:rsid w:val="00C2483C"/>
    <w:rsid w:val="00C25044"/>
    <w:rsid w:val="00C26CC6"/>
    <w:rsid w:val="00C33273"/>
    <w:rsid w:val="00C3566A"/>
    <w:rsid w:val="00C36CF0"/>
    <w:rsid w:val="00C37D26"/>
    <w:rsid w:val="00C40591"/>
    <w:rsid w:val="00C40E9F"/>
    <w:rsid w:val="00C41526"/>
    <w:rsid w:val="00C419E7"/>
    <w:rsid w:val="00C41D2A"/>
    <w:rsid w:val="00C43B70"/>
    <w:rsid w:val="00C4455B"/>
    <w:rsid w:val="00C4463C"/>
    <w:rsid w:val="00C45EB2"/>
    <w:rsid w:val="00C465B1"/>
    <w:rsid w:val="00C4696A"/>
    <w:rsid w:val="00C47134"/>
    <w:rsid w:val="00C501B0"/>
    <w:rsid w:val="00C50F22"/>
    <w:rsid w:val="00C52790"/>
    <w:rsid w:val="00C5354B"/>
    <w:rsid w:val="00C537BF"/>
    <w:rsid w:val="00C53BCE"/>
    <w:rsid w:val="00C53ECD"/>
    <w:rsid w:val="00C5631B"/>
    <w:rsid w:val="00C60878"/>
    <w:rsid w:val="00C609D3"/>
    <w:rsid w:val="00C60E52"/>
    <w:rsid w:val="00C631A5"/>
    <w:rsid w:val="00C637FA"/>
    <w:rsid w:val="00C640B9"/>
    <w:rsid w:val="00C646D9"/>
    <w:rsid w:val="00C64BF4"/>
    <w:rsid w:val="00C652B7"/>
    <w:rsid w:val="00C65D1C"/>
    <w:rsid w:val="00C673AB"/>
    <w:rsid w:val="00C702D9"/>
    <w:rsid w:val="00C70850"/>
    <w:rsid w:val="00C70D42"/>
    <w:rsid w:val="00C711BE"/>
    <w:rsid w:val="00C72D6D"/>
    <w:rsid w:val="00C733C3"/>
    <w:rsid w:val="00C761D1"/>
    <w:rsid w:val="00C80290"/>
    <w:rsid w:val="00C81FB9"/>
    <w:rsid w:val="00C82CB0"/>
    <w:rsid w:val="00C84A2F"/>
    <w:rsid w:val="00C85CDA"/>
    <w:rsid w:val="00C87CD7"/>
    <w:rsid w:val="00C90152"/>
    <w:rsid w:val="00C91154"/>
    <w:rsid w:val="00C919B9"/>
    <w:rsid w:val="00C926D9"/>
    <w:rsid w:val="00C92F57"/>
    <w:rsid w:val="00C934AD"/>
    <w:rsid w:val="00C93E8A"/>
    <w:rsid w:val="00C944A5"/>
    <w:rsid w:val="00C94CE4"/>
    <w:rsid w:val="00C97ED8"/>
    <w:rsid w:val="00CA016C"/>
    <w:rsid w:val="00CA084C"/>
    <w:rsid w:val="00CA28A5"/>
    <w:rsid w:val="00CA6479"/>
    <w:rsid w:val="00CA6ACC"/>
    <w:rsid w:val="00CA7CFF"/>
    <w:rsid w:val="00CB4111"/>
    <w:rsid w:val="00CB4A81"/>
    <w:rsid w:val="00CB7561"/>
    <w:rsid w:val="00CC1EBF"/>
    <w:rsid w:val="00CC22EC"/>
    <w:rsid w:val="00CC593E"/>
    <w:rsid w:val="00CD0B36"/>
    <w:rsid w:val="00CD1861"/>
    <w:rsid w:val="00CD36D3"/>
    <w:rsid w:val="00CD4391"/>
    <w:rsid w:val="00CD6F4C"/>
    <w:rsid w:val="00CD7351"/>
    <w:rsid w:val="00CE034D"/>
    <w:rsid w:val="00CE1A2A"/>
    <w:rsid w:val="00CE47E4"/>
    <w:rsid w:val="00CE5564"/>
    <w:rsid w:val="00CE5742"/>
    <w:rsid w:val="00CE65D3"/>
    <w:rsid w:val="00CF1A8C"/>
    <w:rsid w:val="00CF3239"/>
    <w:rsid w:val="00CF4AAD"/>
    <w:rsid w:val="00CF506D"/>
    <w:rsid w:val="00D047E6"/>
    <w:rsid w:val="00D05CFA"/>
    <w:rsid w:val="00D105BD"/>
    <w:rsid w:val="00D10C44"/>
    <w:rsid w:val="00D11BC9"/>
    <w:rsid w:val="00D123E8"/>
    <w:rsid w:val="00D129D6"/>
    <w:rsid w:val="00D133E8"/>
    <w:rsid w:val="00D140BF"/>
    <w:rsid w:val="00D143D5"/>
    <w:rsid w:val="00D14825"/>
    <w:rsid w:val="00D14A9E"/>
    <w:rsid w:val="00D14F45"/>
    <w:rsid w:val="00D15A44"/>
    <w:rsid w:val="00D20439"/>
    <w:rsid w:val="00D234C1"/>
    <w:rsid w:val="00D24538"/>
    <w:rsid w:val="00D25B70"/>
    <w:rsid w:val="00D277F9"/>
    <w:rsid w:val="00D32CED"/>
    <w:rsid w:val="00D3356A"/>
    <w:rsid w:val="00D361F4"/>
    <w:rsid w:val="00D362D2"/>
    <w:rsid w:val="00D36902"/>
    <w:rsid w:val="00D37DBA"/>
    <w:rsid w:val="00D42A5E"/>
    <w:rsid w:val="00D45FEB"/>
    <w:rsid w:val="00D50F22"/>
    <w:rsid w:val="00D51C5F"/>
    <w:rsid w:val="00D5640C"/>
    <w:rsid w:val="00D56750"/>
    <w:rsid w:val="00D56C62"/>
    <w:rsid w:val="00D573AD"/>
    <w:rsid w:val="00D64512"/>
    <w:rsid w:val="00D64749"/>
    <w:rsid w:val="00D6787E"/>
    <w:rsid w:val="00D704A6"/>
    <w:rsid w:val="00D707BB"/>
    <w:rsid w:val="00D72729"/>
    <w:rsid w:val="00D75EAD"/>
    <w:rsid w:val="00D777B2"/>
    <w:rsid w:val="00D77936"/>
    <w:rsid w:val="00D86CB6"/>
    <w:rsid w:val="00D905C1"/>
    <w:rsid w:val="00D93FF1"/>
    <w:rsid w:val="00D95FC5"/>
    <w:rsid w:val="00DA218C"/>
    <w:rsid w:val="00DA4578"/>
    <w:rsid w:val="00DB0B3F"/>
    <w:rsid w:val="00DB1418"/>
    <w:rsid w:val="00DB1D25"/>
    <w:rsid w:val="00DB1E11"/>
    <w:rsid w:val="00DB4B5E"/>
    <w:rsid w:val="00DB66CB"/>
    <w:rsid w:val="00DB6A0E"/>
    <w:rsid w:val="00DB7D2D"/>
    <w:rsid w:val="00DC0290"/>
    <w:rsid w:val="00DC0A37"/>
    <w:rsid w:val="00DC425F"/>
    <w:rsid w:val="00DC5239"/>
    <w:rsid w:val="00DC6B7F"/>
    <w:rsid w:val="00DD0E49"/>
    <w:rsid w:val="00DD2370"/>
    <w:rsid w:val="00DD294B"/>
    <w:rsid w:val="00DD3015"/>
    <w:rsid w:val="00DD33F7"/>
    <w:rsid w:val="00DD3E1B"/>
    <w:rsid w:val="00DD4D3B"/>
    <w:rsid w:val="00DD6295"/>
    <w:rsid w:val="00DD6CF5"/>
    <w:rsid w:val="00DE1FD7"/>
    <w:rsid w:val="00DE2FAB"/>
    <w:rsid w:val="00DE3208"/>
    <w:rsid w:val="00DE402D"/>
    <w:rsid w:val="00DE4547"/>
    <w:rsid w:val="00DE57C0"/>
    <w:rsid w:val="00DE5880"/>
    <w:rsid w:val="00DE62BD"/>
    <w:rsid w:val="00DE6B5E"/>
    <w:rsid w:val="00DF1CE3"/>
    <w:rsid w:val="00DF4212"/>
    <w:rsid w:val="00DF4CA5"/>
    <w:rsid w:val="00DF4D3A"/>
    <w:rsid w:val="00E010F9"/>
    <w:rsid w:val="00E0137B"/>
    <w:rsid w:val="00E044FA"/>
    <w:rsid w:val="00E07400"/>
    <w:rsid w:val="00E10581"/>
    <w:rsid w:val="00E109BF"/>
    <w:rsid w:val="00E10A48"/>
    <w:rsid w:val="00E12320"/>
    <w:rsid w:val="00E14485"/>
    <w:rsid w:val="00E15837"/>
    <w:rsid w:val="00E17655"/>
    <w:rsid w:val="00E1771C"/>
    <w:rsid w:val="00E21690"/>
    <w:rsid w:val="00E224E1"/>
    <w:rsid w:val="00E22A52"/>
    <w:rsid w:val="00E266E9"/>
    <w:rsid w:val="00E27E33"/>
    <w:rsid w:val="00E3114A"/>
    <w:rsid w:val="00E31523"/>
    <w:rsid w:val="00E315CB"/>
    <w:rsid w:val="00E31DAE"/>
    <w:rsid w:val="00E31F0C"/>
    <w:rsid w:val="00E326F8"/>
    <w:rsid w:val="00E376CD"/>
    <w:rsid w:val="00E4120D"/>
    <w:rsid w:val="00E42B6F"/>
    <w:rsid w:val="00E42CE7"/>
    <w:rsid w:val="00E43B77"/>
    <w:rsid w:val="00E46B2F"/>
    <w:rsid w:val="00E47AE8"/>
    <w:rsid w:val="00E5129C"/>
    <w:rsid w:val="00E51EDA"/>
    <w:rsid w:val="00E53F5F"/>
    <w:rsid w:val="00E54C2C"/>
    <w:rsid w:val="00E5697E"/>
    <w:rsid w:val="00E57DC2"/>
    <w:rsid w:val="00E61FDF"/>
    <w:rsid w:val="00E645EB"/>
    <w:rsid w:val="00E64BB7"/>
    <w:rsid w:val="00E659DF"/>
    <w:rsid w:val="00E65B7A"/>
    <w:rsid w:val="00E72211"/>
    <w:rsid w:val="00E729E3"/>
    <w:rsid w:val="00E749E5"/>
    <w:rsid w:val="00E74FCC"/>
    <w:rsid w:val="00E75B0B"/>
    <w:rsid w:val="00E75EE4"/>
    <w:rsid w:val="00E8164C"/>
    <w:rsid w:val="00E819D4"/>
    <w:rsid w:val="00E81DEF"/>
    <w:rsid w:val="00E84DE3"/>
    <w:rsid w:val="00E85A6F"/>
    <w:rsid w:val="00E863AE"/>
    <w:rsid w:val="00E9093D"/>
    <w:rsid w:val="00E9325B"/>
    <w:rsid w:val="00E94C82"/>
    <w:rsid w:val="00EA53CE"/>
    <w:rsid w:val="00EA5FFF"/>
    <w:rsid w:val="00EA7609"/>
    <w:rsid w:val="00EA7C9D"/>
    <w:rsid w:val="00EB3880"/>
    <w:rsid w:val="00EB3B5E"/>
    <w:rsid w:val="00EB549B"/>
    <w:rsid w:val="00EB5964"/>
    <w:rsid w:val="00EB5DD2"/>
    <w:rsid w:val="00EB6DFD"/>
    <w:rsid w:val="00EC05A7"/>
    <w:rsid w:val="00EC0C38"/>
    <w:rsid w:val="00EC1C83"/>
    <w:rsid w:val="00EC1D71"/>
    <w:rsid w:val="00EC2A0C"/>
    <w:rsid w:val="00EC4D3E"/>
    <w:rsid w:val="00EC6B61"/>
    <w:rsid w:val="00EC75FE"/>
    <w:rsid w:val="00EC7935"/>
    <w:rsid w:val="00ED034D"/>
    <w:rsid w:val="00ED0F5C"/>
    <w:rsid w:val="00ED1224"/>
    <w:rsid w:val="00ED126F"/>
    <w:rsid w:val="00ED3C58"/>
    <w:rsid w:val="00EE24BD"/>
    <w:rsid w:val="00EE4440"/>
    <w:rsid w:val="00EE464C"/>
    <w:rsid w:val="00EE724C"/>
    <w:rsid w:val="00EE7F8B"/>
    <w:rsid w:val="00EF1A38"/>
    <w:rsid w:val="00EF2B8D"/>
    <w:rsid w:val="00EF45E5"/>
    <w:rsid w:val="00EF543D"/>
    <w:rsid w:val="00F003C3"/>
    <w:rsid w:val="00F02518"/>
    <w:rsid w:val="00F0456E"/>
    <w:rsid w:val="00F04681"/>
    <w:rsid w:val="00F05E0E"/>
    <w:rsid w:val="00F06527"/>
    <w:rsid w:val="00F06A34"/>
    <w:rsid w:val="00F10067"/>
    <w:rsid w:val="00F102AC"/>
    <w:rsid w:val="00F10DB7"/>
    <w:rsid w:val="00F112F5"/>
    <w:rsid w:val="00F143F0"/>
    <w:rsid w:val="00F15421"/>
    <w:rsid w:val="00F2055D"/>
    <w:rsid w:val="00F226E8"/>
    <w:rsid w:val="00F22BAB"/>
    <w:rsid w:val="00F249EF"/>
    <w:rsid w:val="00F2502D"/>
    <w:rsid w:val="00F27AE6"/>
    <w:rsid w:val="00F3051A"/>
    <w:rsid w:val="00F3132D"/>
    <w:rsid w:val="00F33AEE"/>
    <w:rsid w:val="00F35946"/>
    <w:rsid w:val="00F3657D"/>
    <w:rsid w:val="00F37E8D"/>
    <w:rsid w:val="00F41089"/>
    <w:rsid w:val="00F43FBF"/>
    <w:rsid w:val="00F5448A"/>
    <w:rsid w:val="00F54E5F"/>
    <w:rsid w:val="00F56DD5"/>
    <w:rsid w:val="00F5761A"/>
    <w:rsid w:val="00F603C2"/>
    <w:rsid w:val="00F62027"/>
    <w:rsid w:val="00F6327D"/>
    <w:rsid w:val="00F648D2"/>
    <w:rsid w:val="00F6491E"/>
    <w:rsid w:val="00F65ACC"/>
    <w:rsid w:val="00F66D1A"/>
    <w:rsid w:val="00F71586"/>
    <w:rsid w:val="00F7252F"/>
    <w:rsid w:val="00F76E51"/>
    <w:rsid w:val="00F77513"/>
    <w:rsid w:val="00F8225B"/>
    <w:rsid w:val="00F82D5E"/>
    <w:rsid w:val="00F83160"/>
    <w:rsid w:val="00F83531"/>
    <w:rsid w:val="00F84ECB"/>
    <w:rsid w:val="00F90C49"/>
    <w:rsid w:val="00F92594"/>
    <w:rsid w:val="00F95D47"/>
    <w:rsid w:val="00F96757"/>
    <w:rsid w:val="00F96CCC"/>
    <w:rsid w:val="00FA15E5"/>
    <w:rsid w:val="00FA73EE"/>
    <w:rsid w:val="00FA7C8C"/>
    <w:rsid w:val="00FB58A5"/>
    <w:rsid w:val="00FB6417"/>
    <w:rsid w:val="00FC23BD"/>
    <w:rsid w:val="00FC628B"/>
    <w:rsid w:val="00FC74F2"/>
    <w:rsid w:val="00FD346F"/>
    <w:rsid w:val="00FD4B5D"/>
    <w:rsid w:val="00FD4E61"/>
    <w:rsid w:val="00FD67F1"/>
    <w:rsid w:val="00FD7731"/>
    <w:rsid w:val="00FE0E28"/>
    <w:rsid w:val="00FE1469"/>
    <w:rsid w:val="00FE2C7D"/>
    <w:rsid w:val="00FE2DEB"/>
    <w:rsid w:val="00FE6D45"/>
    <w:rsid w:val="00FF053B"/>
    <w:rsid w:val="00FF059D"/>
    <w:rsid w:val="00FF348D"/>
    <w:rsid w:val="00FF427A"/>
    <w:rsid w:val="00FF7AE7"/>
    <w:rsid w:val="15911870"/>
    <w:rsid w:val="1A7700A2"/>
    <w:rsid w:val="30781DE1"/>
    <w:rsid w:val="433A2E61"/>
    <w:rsid w:val="534354F2"/>
    <w:rsid w:val="54521982"/>
    <w:rsid w:val="54754DE0"/>
    <w:rsid w:val="58A6493A"/>
    <w:rsid w:val="5C800333"/>
    <w:rsid w:val="64CB11C3"/>
    <w:rsid w:val="6D192AA9"/>
    <w:rsid w:val="75B62BB3"/>
    <w:rsid w:val="765F4D46"/>
    <w:rsid w:val="7AB318AE"/>
    <w:rsid w:val="7C9B5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Balloon Text"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pPr>
      <w:spacing w:before="100" w:beforeAutospacing="1" w:after="100" w:afterAutospacing="1"/>
    </w:pPr>
    <w:rPr>
      <w:rFonts w:ascii="宋体" w:eastAsia="宋体" w:hAnsi="宋体" w:cs="宋体"/>
      <w:kern w:val="0"/>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styleId="a9">
    <w:name w:val="Hyperlink"/>
    <w:basedOn w:val="a0"/>
    <w:uiPriority w:val="99"/>
    <w:unhideWhenUsed/>
    <w:rPr>
      <w:color w:val="0563C1" w:themeColor="hyperlink"/>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styleId="aa">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Char">
    <w:name w:val="批注框文本 Char"/>
    <w:basedOn w:val="a0"/>
    <w:link w:val="a3"/>
    <w:uiPriority w:val="99"/>
    <w:semiHidden/>
    <w:qFormat/>
    <w:rPr>
      <w:kern w:val="2"/>
      <w:sz w:val="18"/>
      <w:szCs w:val="18"/>
    </w:rPr>
  </w:style>
  <w:style w:type="paragraph" w:styleId="ab">
    <w:name w:val="List Paragraph"/>
    <w:basedOn w:val="a"/>
    <w:uiPriority w:val="34"/>
    <w:qFormat/>
    <w:pPr>
      <w:widowControl w:val="0"/>
      <w:ind w:firstLineChars="200" w:firstLine="420"/>
      <w:jc w:val="both"/>
    </w:pPr>
  </w:style>
  <w:style w:type="paragraph" w:customStyle="1" w:styleId="conindent2">
    <w:name w:val="conindent2"/>
    <w:basedOn w:val="a"/>
    <w:pPr>
      <w:ind w:firstLine="450"/>
    </w:pPr>
    <w:rPr>
      <w:rFonts w:ascii="宋体" w:eastAsia="宋体" w:hAnsi="宋体" w:cs="宋体"/>
      <w:kern w:val="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lsdException w:name="Balloon Text"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unhideWhenUsed/>
    <w:pPr>
      <w:spacing w:before="100" w:beforeAutospacing="1" w:after="100" w:afterAutospacing="1"/>
    </w:pPr>
    <w:rPr>
      <w:rFonts w:ascii="宋体" w:eastAsia="宋体" w:hAnsi="宋体" w:cs="宋体"/>
      <w:kern w:val="0"/>
      <w:sz w:val="24"/>
      <w:szCs w:val="24"/>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styleId="a9">
    <w:name w:val="Hyperlink"/>
    <w:basedOn w:val="a0"/>
    <w:uiPriority w:val="99"/>
    <w:unhideWhenUsed/>
    <w:rPr>
      <w:color w:val="0563C1" w:themeColor="hyperlink"/>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paragraph" w:styleId="aa">
    <w:name w:val="No Spacing"/>
    <w:uiPriority w:val="1"/>
    <w:qFormat/>
    <w:pPr>
      <w:widowControl w:val="0"/>
      <w:jc w:val="both"/>
    </w:pPr>
    <w:rPr>
      <w:rFonts w:asciiTheme="minorHAnsi" w:eastAsiaTheme="minorEastAsia" w:hAnsiTheme="minorHAnsi" w:cstheme="minorBidi"/>
      <w:kern w:val="2"/>
      <w:sz w:val="21"/>
      <w:szCs w:val="22"/>
    </w:rPr>
  </w:style>
  <w:style w:type="character" w:customStyle="1" w:styleId="Char">
    <w:name w:val="批注框文本 Char"/>
    <w:basedOn w:val="a0"/>
    <w:link w:val="a3"/>
    <w:uiPriority w:val="99"/>
    <w:semiHidden/>
    <w:qFormat/>
    <w:rPr>
      <w:kern w:val="2"/>
      <w:sz w:val="18"/>
      <w:szCs w:val="18"/>
    </w:rPr>
  </w:style>
  <w:style w:type="paragraph" w:styleId="ab">
    <w:name w:val="List Paragraph"/>
    <w:basedOn w:val="a"/>
    <w:uiPriority w:val="34"/>
    <w:qFormat/>
    <w:pPr>
      <w:widowControl w:val="0"/>
      <w:ind w:firstLineChars="200" w:firstLine="420"/>
      <w:jc w:val="both"/>
    </w:pPr>
  </w:style>
  <w:style w:type="paragraph" w:customStyle="1" w:styleId="conindent2">
    <w:name w:val="conindent2"/>
    <w:basedOn w:val="a"/>
    <w:pPr>
      <w:ind w:firstLine="450"/>
    </w:pPr>
    <w:rPr>
      <w:rFonts w:ascii="宋体" w:eastAsia="宋体" w:hAnsi="宋体" w:cs="宋体"/>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95244">
      <w:bodyDiv w:val="1"/>
      <w:marLeft w:val="0"/>
      <w:marRight w:val="0"/>
      <w:marTop w:val="0"/>
      <w:marBottom w:val="0"/>
      <w:divBdr>
        <w:top w:val="none" w:sz="0" w:space="0" w:color="auto"/>
        <w:left w:val="none" w:sz="0" w:space="0" w:color="auto"/>
        <w:bottom w:val="none" w:sz="0" w:space="0" w:color="auto"/>
        <w:right w:val="none" w:sz="0" w:space="0" w:color="auto"/>
      </w:divBdr>
    </w:div>
    <w:div w:id="244262724">
      <w:bodyDiv w:val="1"/>
      <w:marLeft w:val="0"/>
      <w:marRight w:val="0"/>
      <w:marTop w:val="0"/>
      <w:marBottom w:val="0"/>
      <w:divBdr>
        <w:top w:val="none" w:sz="0" w:space="0" w:color="auto"/>
        <w:left w:val="none" w:sz="0" w:space="0" w:color="auto"/>
        <w:bottom w:val="none" w:sz="0" w:space="0" w:color="auto"/>
        <w:right w:val="none" w:sz="0" w:space="0" w:color="auto"/>
      </w:divBdr>
    </w:div>
    <w:div w:id="278532258">
      <w:bodyDiv w:val="1"/>
      <w:marLeft w:val="0"/>
      <w:marRight w:val="0"/>
      <w:marTop w:val="0"/>
      <w:marBottom w:val="0"/>
      <w:divBdr>
        <w:top w:val="none" w:sz="0" w:space="0" w:color="auto"/>
        <w:left w:val="none" w:sz="0" w:space="0" w:color="auto"/>
        <w:bottom w:val="none" w:sz="0" w:space="0" w:color="auto"/>
        <w:right w:val="none" w:sz="0" w:space="0" w:color="auto"/>
      </w:divBdr>
    </w:div>
    <w:div w:id="353045305">
      <w:bodyDiv w:val="1"/>
      <w:marLeft w:val="0"/>
      <w:marRight w:val="0"/>
      <w:marTop w:val="0"/>
      <w:marBottom w:val="0"/>
      <w:divBdr>
        <w:top w:val="none" w:sz="0" w:space="0" w:color="auto"/>
        <w:left w:val="none" w:sz="0" w:space="0" w:color="auto"/>
        <w:bottom w:val="none" w:sz="0" w:space="0" w:color="auto"/>
        <w:right w:val="none" w:sz="0" w:space="0" w:color="auto"/>
      </w:divBdr>
    </w:div>
    <w:div w:id="526212488">
      <w:bodyDiv w:val="1"/>
      <w:marLeft w:val="0"/>
      <w:marRight w:val="0"/>
      <w:marTop w:val="0"/>
      <w:marBottom w:val="0"/>
      <w:divBdr>
        <w:top w:val="none" w:sz="0" w:space="0" w:color="auto"/>
        <w:left w:val="none" w:sz="0" w:space="0" w:color="auto"/>
        <w:bottom w:val="none" w:sz="0" w:space="0" w:color="auto"/>
        <w:right w:val="none" w:sz="0" w:space="0" w:color="auto"/>
      </w:divBdr>
    </w:div>
    <w:div w:id="530799345">
      <w:bodyDiv w:val="1"/>
      <w:marLeft w:val="0"/>
      <w:marRight w:val="0"/>
      <w:marTop w:val="0"/>
      <w:marBottom w:val="0"/>
      <w:divBdr>
        <w:top w:val="none" w:sz="0" w:space="0" w:color="auto"/>
        <w:left w:val="none" w:sz="0" w:space="0" w:color="auto"/>
        <w:bottom w:val="none" w:sz="0" w:space="0" w:color="auto"/>
        <w:right w:val="none" w:sz="0" w:space="0" w:color="auto"/>
      </w:divBdr>
    </w:div>
    <w:div w:id="878663409">
      <w:bodyDiv w:val="1"/>
      <w:marLeft w:val="0"/>
      <w:marRight w:val="0"/>
      <w:marTop w:val="0"/>
      <w:marBottom w:val="0"/>
      <w:divBdr>
        <w:top w:val="none" w:sz="0" w:space="0" w:color="auto"/>
        <w:left w:val="none" w:sz="0" w:space="0" w:color="auto"/>
        <w:bottom w:val="none" w:sz="0" w:space="0" w:color="auto"/>
        <w:right w:val="none" w:sz="0" w:space="0" w:color="auto"/>
      </w:divBdr>
    </w:div>
    <w:div w:id="942343429">
      <w:bodyDiv w:val="1"/>
      <w:marLeft w:val="0"/>
      <w:marRight w:val="0"/>
      <w:marTop w:val="0"/>
      <w:marBottom w:val="0"/>
      <w:divBdr>
        <w:top w:val="none" w:sz="0" w:space="0" w:color="auto"/>
        <w:left w:val="none" w:sz="0" w:space="0" w:color="auto"/>
        <w:bottom w:val="none" w:sz="0" w:space="0" w:color="auto"/>
        <w:right w:val="none" w:sz="0" w:space="0" w:color="auto"/>
      </w:divBdr>
    </w:div>
    <w:div w:id="962465701">
      <w:bodyDiv w:val="1"/>
      <w:marLeft w:val="0"/>
      <w:marRight w:val="0"/>
      <w:marTop w:val="0"/>
      <w:marBottom w:val="0"/>
      <w:divBdr>
        <w:top w:val="none" w:sz="0" w:space="0" w:color="auto"/>
        <w:left w:val="none" w:sz="0" w:space="0" w:color="auto"/>
        <w:bottom w:val="none" w:sz="0" w:space="0" w:color="auto"/>
        <w:right w:val="none" w:sz="0" w:space="0" w:color="auto"/>
      </w:divBdr>
    </w:div>
    <w:div w:id="1112750389">
      <w:bodyDiv w:val="1"/>
      <w:marLeft w:val="0"/>
      <w:marRight w:val="0"/>
      <w:marTop w:val="0"/>
      <w:marBottom w:val="0"/>
      <w:divBdr>
        <w:top w:val="none" w:sz="0" w:space="0" w:color="auto"/>
        <w:left w:val="none" w:sz="0" w:space="0" w:color="auto"/>
        <w:bottom w:val="none" w:sz="0" w:space="0" w:color="auto"/>
        <w:right w:val="none" w:sz="0" w:space="0" w:color="auto"/>
      </w:divBdr>
      <w:divsChild>
        <w:div w:id="993224352">
          <w:marLeft w:val="0"/>
          <w:marRight w:val="0"/>
          <w:marTop w:val="0"/>
          <w:marBottom w:val="0"/>
          <w:divBdr>
            <w:top w:val="none" w:sz="0" w:space="0" w:color="auto"/>
            <w:left w:val="none" w:sz="0" w:space="0" w:color="auto"/>
            <w:bottom w:val="none" w:sz="0" w:space="0" w:color="auto"/>
            <w:right w:val="none" w:sz="0" w:space="0" w:color="auto"/>
          </w:divBdr>
        </w:div>
        <w:div w:id="701789274">
          <w:marLeft w:val="0"/>
          <w:marRight w:val="0"/>
          <w:marTop w:val="0"/>
          <w:marBottom w:val="0"/>
          <w:divBdr>
            <w:top w:val="none" w:sz="0" w:space="0" w:color="auto"/>
            <w:left w:val="none" w:sz="0" w:space="0" w:color="auto"/>
            <w:bottom w:val="none" w:sz="0" w:space="0" w:color="auto"/>
            <w:right w:val="none" w:sz="0" w:space="0" w:color="auto"/>
          </w:divBdr>
        </w:div>
        <w:div w:id="1157039022">
          <w:marLeft w:val="0"/>
          <w:marRight w:val="0"/>
          <w:marTop w:val="0"/>
          <w:marBottom w:val="0"/>
          <w:divBdr>
            <w:top w:val="none" w:sz="0" w:space="0" w:color="auto"/>
            <w:left w:val="none" w:sz="0" w:space="0" w:color="auto"/>
            <w:bottom w:val="none" w:sz="0" w:space="0" w:color="auto"/>
            <w:right w:val="none" w:sz="0" w:space="0" w:color="auto"/>
          </w:divBdr>
        </w:div>
        <w:div w:id="1122723741">
          <w:marLeft w:val="0"/>
          <w:marRight w:val="0"/>
          <w:marTop w:val="0"/>
          <w:marBottom w:val="0"/>
          <w:divBdr>
            <w:top w:val="none" w:sz="0" w:space="0" w:color="auto"/>
            <w:left w:val="none" w:sz="0" w:space="0" w:color="auto"/>
            <w:bottom w:val="none" w:sz="0" w:space="0" w:color="auto"/>
            <w:right w:val="none" w:sz="0" w:space="0" w:color="auto"/>
          </w:divBdr>
        </w:div>
        <w:div w:id="613171967">
          <w:marLeft w:val="0"/>
          <w:marRight w:val="0"/>
          <w:marTop w:val="0"/>
          <w:marBottom w:val="0"/>
          <w:divBdr>
            <w:top w:val="none" w:sz="0" w:space="0" w:color="auto"/>
            <w:left w:val="none" w:sz="0" w:space="0" w:color="auto"/>
            <w:bottom w:val="none" w:sz="0" w:space="0" w:color="auto"/>
            <w:right w:val="none" w:sz="0" w:space="0" w:color="auto"/>
          </w:divBdr>
        </w:div>
        <w:div w:id="968240232">
          <w:marLeft w:val="0"/>
          <w:marRight w:val="0"/>
          <w:marTop w:val="0"/>
          <w:marBottom w:val="0"/>
          <w:divBdr>
            <w:top w:val="none" w:sz="0" w:space="0" w:color="auto"/>
            <w:left w:val="none" w:sz="0" w:space="0" w:color="auto"/>
            <w:bottom w:val="none" w:sz="0" w:space="0" w:color="auto"/>
            <w:right w:val="none" w:sz="0" w:space="0" w:color="auto"/>
          </w:divBdr>
        </w:div>
        <w:div w:id="602692801">
          <w:marLeft w:val="0"/>
          <w:marRight w:val="0"/>
          <w:marTop w:val="0"/>
          <w:marBottom w:val="0"/>
          <w:divBdr>
            <w:top w:val="none" w:sz="0" w:space="0" w:color="auto"/>
            <w:left w:val="none" w:sz="0" w:space="0" w:color="auto"/>
            <w:bottom w:val="none" w:sz="0" w:space="0" w:color="auto"/>
            <w:right w:val="none" w:sz="0" w:space="0" w:color="auto"/>
          </w:divBdr>
        </w:div>
        <w:div w:id="80681581">
          <w:marLeft w:val="0"/>
          <w:marRight w:val="0"/>
          <w:marTop w:val="0"/>
          <w:marBottom w:val="0"/>
          <w:divBdr>
            <w:top w:val="none" w:sz="0" w:space="0" w:color="auto"/>
            <w:left w:val="none" w:sz="0" w:space="0" w:color="auto"/>
            <w:bottom w:val="none" w:sz="0" w:space="0" w:color="auto"/>
            <w:right w:val="none" w:sz="0" w:space="0" w:color="auto"/>
          </w:divBdr>
        </w:div>
        <w:div w:id="1422797676">
          <w:marLeft w:val="0"/>
          <w:marRight w:val="0"/>
          <w:marTop w:val="0"/>
          <w:marBottom w:val="0"/>
          <w:divBdr>
            <w:top w:val="none" w:sz="0" w:space="0" w:color="auto"/>
            <w:left w:val="none" w:sz="0" w:space="0" w:color="auto"/>
            <w:bottom w:val="none" w:sz="0" w:space="0" w:color="auto"/>
            <w:right w:val="none" w:sz="0" w:space="0" w:color="auto"/>
          </w:divBdr>
        </w:div>
        <w:div w:id="1680502942">
          <w:marLeft w:val="0"/>
          <w:marRight w:val="0"/>
          <w:marTop w:val="0"/>
          <w:marBottom w:val="0"/>
          <w:divBdr>
            <w:top w:val="none" w:sz="0" w:space="0" w:color="auto"/>
            <w:left w:val="none" w:sz="0" w:space="0" w:color="auto"/>
            <w:bottom w:val="none" w:sz="0" w:space="0" w:color="auto"/>
            <w:right w:val="none" w:sz="0" w:space="0" w:color="auto"/>
          </w:divBdr>
        </w:div>
        <w:div w:id="2068601991">
          <w:marLeft w:val="0"/>
          <w:marRight w:val="0"/>
          <w:marTop w:val="0"/>
          <w:marBottom w:val="0"/>
          <w:divBdr>
            <w:top w:val="none" w:sz="0" w:space="0" w:color="auto"/>
            <w:left w:val="none" w:sz="0" w:space="0" w:color="auto"/>
            <w:bottom w:val="none" w:sz="0" w:space="0" w:color="auto"/>
            <w:right w:val="none" w:sz="0" w:space="0" w:color="auto"/>
          </w:divBdr>
        </w:div>
        <w:div w:id="1191646488">
          <w:marLeft w:val="0"/>
          <w:marRight w:val="0"/>
          <w:marTop w:val="0"/>
          <w:marBottom w:val="0"/>
          <w:divBdr>
            <w:top w:val="none" w:sz="0" w:space="0" w:color="auto"/>
            <w:left w:val="none" w:sz="0" w:space="0" w:color="auto"/>
            <w:bottom w:val="none" w:sz="0" w:space="0" w:color="auto"/>
            <w:right w:val="none" w:sz="0" w:space="0" w:color="auto"/>
          </w:divBdr>
        </w:div>
        <w:div w:id="1183132831">
          <w:marLeft w:val="0"/>
          <w:marRight w:val="0"/>
          <w:marTop w:val="0"/>
          <w:marBottom w:val="0"/>
          <w:divBdr>
            <w:top w:val="none" w:sz="0" w:space="0" w:color="auto"/>
            <w:left w:val="none" w:sz="0" w:space="0" w:color="auto"/>
            <w:bottom w:val="none" w:sz="0" w:space="0" w:color="auto"/>
            <w:right w:val="none" w:sz="0" w:space="0" w:color="auto"/>
          </w:divBdr>
        </w:div>
        <w:div w:id="1726218436">
          <w:marLeft w:val="0"/>
          <w:marRight w:val="0"/>
          <w:marTop w:val="0"/>
          <w:marBottom w:val="0"/>
          <w:divBdr>
            <w:top w:val="none" w:sz="0" w:space="0" w:color="auto"/>
            <w:left w:val="none" w:sz="0" w:space="0" w:color="auto"/>
            <w:bottom w:val="none" w:sz="0" w:space="0" w:color="auto"/>
            <w:right w:val="none" w:sz="0" w:space="0" w:color="auto"/>
          </w:divBdr>
        </w:div>
        <w:div w:id="1724526514">
          <w:marLeft w:val="0"/>
          <w:marRight w:val="0"/>
          <w:marTop w:val="0"/>
          <w:marBottom w:val="0"/>
          <w:divBdr>
            <w:top w:val="none" w:sz="0" w:space="0" w:color="auto"/>
            <w:left w:val="none" w:sz="0" w:space="0" w:color="auto"/>
            <w:bottom w:val="none" w:sz="0" w:space="0" w:color="auto"/>
            <w:right w:val="none" w:sz="0" w:space="0" w:color="auto"/>
          </w:divBdr>
        </w:div>
        <w:div w:id="1561332727">
          <w:marLeft w:val="0"/>
          <w:marRight w:val="0"/>
          <w:marTop w:val="0"/>
          <w:marBottom w:val="0"/>
          <w:divBdr>
            <w:top w:val="none" w:sz="0" w:space="0" w:color="auto"/>
            <w:left w:val="none" w:sz="0" w:space="0" w:color="auto"/>
            <w:bottom w:val="none" w:sz="0" w:space="0" w:color="auto"/>
            <w:right w:val="none" w:sz="0" w:space="0" w:color="auto"/>
          </w:divBdr>
        </w:div>
        <w:div w:id="300616959">
          <w:marLeft w:val="0"/>
          <w:marRight w:val="0"/>
          <w:marTop w:val="0"/>
          <w:marBottom w:val="0"/>
          <w:divBdr>
            <w:top w:val="none" w:sz="0" w:space="0" w:color="auto"/>
            <w:left w:val="none" w:sz="0" w:space="0" w:color="auto"/>
            <w:bottom w:val="none" w:sz="0" w:space="0" w:color="auto"/>
            <w:right w:val="none" w:sz="0" w:space="0" w:color="auto"/>
          </w:divBdr>
        </w:div>
        <w:div w:id="750352742">
          <w:marLeft w:val="0"/>
          <w:marRight w:val="0"/>
          <w:marTop w:val="0"/>
          <w:marBottom w:val="0"/>
          <w:divBdr>
            <w:top w:val="none" w:sz="0" w:space="0" w:color="auto"/>
            <w:left w:val="none" w:sz="0" w:space="0" w:color="auto"/>
            <w:bottom w:val="none" w:sz="0" w:space="0" w:color="auto"/>
            <w:right w:val="none" w:sz="0" w:space="0" w:color="auto"/>
          </w:divBdr>
        </w:div>
        <w:div w:id="1467702885">
          <w:marLeft w:val="0"/>
          <w:marRight w:val="0"/>
          <w:marTop w:val="0"/>
          <w:marBottom w:val="0"/>
          <w:divBdr>
            <w:top w:val="none" w:sz="0" w:space="0" w:color="auto"/>
            <w:left w:val="none" w:sz="0" w:space="0" w:color="auto"/>
            <w:bottom w:val="none" w:sz="0" w:space="0" w:color="auto"/>
            <w:right w:val="none" w:sz="0" w:space="0" w:color="auto"/>
          </w:divBdr>
        </w:div>
        <w:div w:id="2096975054">
          <w:marLeft w:val="0"/>
          <w:marRight w:val="0"/>
          <w:marTop w:val="0"/>
          <w:marBottom w:val="0"/>
          <w:divBdr>
            <w:top w:val="none" w:sz="0" w:space="0" w:color="auto"/>
            <w:left w:val="none" w:sz="0" w:space="0" w:color="auto"/>
            <w:bottom w:val="none" w:sz="0" w:space="0" w:color="auto"/>
            <w:right w:val="none" w:sz="0" w:space="0" w:color="auto"/>
          </w:divBdr>
        </w:div>
        <w:div w:id="327099879">
          <w:marLeft w:val="0"/>
          <w:marRight w:val="0"/>
          <w:marTop w:val="0"/>
          <w:marBottom w:val="0"/>
          <w:divBdr>
            <w:top w:val="none" w:sz="0" w:space="0" w:color="auto"/>
            <w:left w:val="none" w:sz="0" w:space="0" w:color="auto"/>
            <w:bottom w:val="none" w:sz="0" w:space="0" w:color="auto"/>
            <w:right w:val="none" w:sz="0" w:space="0" w:color="auto"/>
          </w:divBdr>
        </w:div>
        <w:div w:id="334117652">
          <w:marLeft w:val="0"/>
          <w:marRight w:val="0"/>
          <w:marTop w:val="0"/>
          <w:marBottom w:val="0"/>
          <w:divBdr>
            <w:top w:val="none" w:sz="0" w:space="0" w:color="auto"/>
            <w:left w:val="none" w:sz="0" w:space="0" w:color="auto"/>
            <w:bottom w:val="none" w:sz="0" w:space="0" w:color="auto"/>
            <w:right w:val="none" w:sz="0" w:space="0" w:color="auto"/>
          </w:divBdr>
        </w:div>
        <w:div w:id="337731970">
          <w:marLeft w:val="0"/>
          <w:marRight w:val="0"/>
          <w:marTop w:val="0"/>
          <w:marBottom w:val="0"/>
          <w:divBdr>
            <w:top w:val="none" w:sz="0" w:space="0" w:color="auto"/>
            <w:left w:val="none" w:sz="0" w:space="0" w:color="auto"/>
            <w:bottom w:val="none" w:sz="0" w:space="0" w:color="auto"/>
            <w:right w:val="none" w:sz="0" w:space="0" w:color="auto"/>
          </w:divBdr>
        </w:div>
        <w:div w:id="1761876796">
          <w:marLeft w:val="0"/>
          <w:marRight w:val="0"/>
          <w:marTop w:val="0"/>
          <w:marBottom w:val="0"/>
          <w:divBdr>
            <w:top w:val="none" w:sz="0" w:space="0" w:color="auto"/>
            <w:left w:val="none" w:sz="0" w:space="0" w:color="auto"/>
            <w:bottom w:val="none" w:sz="0" w:space="0" w:color="auto"/>
            <w:right w:val="none" w:sz="0" w:space="0" w:color="auto"/>
          </w:divBdr>
        </w:div>
        <w:div w:id="1415123908">
          <w:marLeft w:val="0"/>
          <w:marRight w:val="0"/>
          <w:marTop w:val="0"/>
          <w:marBottom w:val="0"/>
          <w:divBdr>
            <w:top w:val="none" w:sz="0" w:space="0" w:color="auto"/>
            <w:left w:val="none" w:sz="0" w:space="0" w:color="auto"/>
            <w:bottom w:val="none" w:sz="0" w:space="0" w:color="auto"/>
            <w:right w:val="none" w:sz="0" w:space="0" w:color="auto"/>
          </w:divBdr>
        </w:div>
        <w:div w:id="1094009288">
          <w:marLeft w:val="0"/>
          <w:marRight w:val="0"/>
          <w:marTop w:val="0"/>
          <w:marBottom w:val="0"/>
          <w:divBdr>
            <w:top w:val="none" w:sz="0" w:space="0" w:color="auto"/>
            <w:left w:val="none" w:sz="0" w:space="0" w:color="auto"/>
            <w:bottom w:val="none" w:sz="0" w:space="0" w:color="auto"/>
            <w:right w:val="none" w:sz="0" w:space="0" w:color="auto"/>
          </w:divBdr>
        </w:div>
        <w:div w:id="866866698">
          <w:marLeft w:val="0"/>
          <w:marRight w:val="0"/>
          <w:marTop w:val="0"/>
          <w:marBottom w:val="0"/>
          <w:divBdr>
            <w:top w:val="none" w:sz="0" w:space="0" w:color="auto"/>
            <w:left w:val="none" w:sz="0" w:space="0" w:color="auto"/>
            <w:bottom w:val="none" w:sz="0" w:space="0" w:color="auto"/>
            <w:right w:val="none" w:sz="0" w:space="0" w:color="auto"/>
          </w:divBdr>
        </w:div>
        <w:div w:id="1915502763">
          <w:marLeft w:val="0"/>
          <w:marRight w:val="0"/>
          <w:marTop w:val="0"/>
          <w:marBottom w:val="0"/>
          <w:divBdr>
            <w:top w:val="none" w:sz="0" w:space="0" w:color="auto"/>
            <w:left w:val="none" w:sz="0" w:space="0" w:color="auto"/>
            <w:bottom w:val="none" w:sz="0" w:space="0" w:color="auto"/>
            <w:right w:val="none" w:sz="0" w:space="0" w:color="auto"/>
          </w:divBdr>
        </w:div>
        <w:div w:id="1995798755">
          <w:marLeft w:val="0"/>
          <w:marRight w:val="0"/>
          <w:marTop w:val="0"/>
          <w:marBottom w:val="0"/>
          <w:divBdr>
            <w:top w:val="none" w:sz="0" w:space="0" w:color="auto"/>
            <w:left w:val="none" w:sz="0" w:space="0" w:color="auto"/>
            <w:bottom w:val="none" w:sz="0" w:space="0" w:color="auto"/>
            <w:right w:val="none" w:sz="0" w:space="0" w:color="auto"/>
          </w:divBdr>
        </w:div>
        <w:div w:id="1050423592">
          <w:marLeft w:val="0"/>
          <w:marRight w:val="0"/>
          <w:marTop w:val="0"/>
          <w:marBottom w:val="0"/>
          <w:divBdr>
            <w:top w:val="none" w:sz="0" w:space="0" w:color="auto"/>
            <w:left w:val="none" w:sz="0" w:space="0" w:color="auto"/>
            <w:bottom w:val="none" w:sz="0" w:space="0" w:color="auto"/>
            <w:right w:val="none" w:sz="0" w:space="0" w:color="auto"/>
          </w:divBdr>
        </w:div>
        <w:div w:id="1767071570">
          <w:marLeft w:val="0"/>
          <w:marRight w:val="0"/>
          <w:marTop w:val="0"/>
          <w:marBottom w:val="0"/>
          <w:divBdr>
            <w:top w:val="none" w:sz="0" w:space="0" w:color="auto"/>
            <w:left w:val="none" w:sz="0" w:space="0" w:color="auto"/>
            <w:bottom w:val="none" w:sz="0" w:space="0" w:color="auto"/>
            <w:right w:val="none" w:sz="0" w:space="0" w:color="auto"/>
          </w:divBdr>
        </w:div>
        <w:div w:id="1722360137">
          <w:marLeft w:val="0"/>
          <w:marRight w:val="0"/>
          <w:marTop w:val="0"/>
          <w:marBottom w:val="0"/>
          <w:divBdr>
            <w:top w:val="none" w:sz="0" w:space="0" w:color="auto"/>
            <w:left w:val="none" w:sz="0" w:space="0" w:color="auto"/>
            <w:bottom w:val="none" w:sz="0" w:space="0" w:color="auto"/>
            <w:right w:val="none" w:sz="0" w:space="0" w:color="auto"/>
          </w:divBdr>
        </w:div>
        <w:div w:id="195894873">
          <w:marLeft w:val="0"/>
          <w:marRight w:val="0"/>
          <w:marTop w:val="0"/>
          <w:marBottom w:val="0"/>
          <w:divBdr>
            <w:top w:val="none" w:sz="0" w:space="0" w:color="auto"/>
            <w:left w:val="none" w:sz="0" w:space="0" w:color="auto"/>
            <w:bottom w:val="none" w:sz="0" w:space="0" w:color="auto"/>
            <w:right w:val="none" w:sz="0" w:space="0" w:color="auto"/>
          </w:divBdr>
        </w:div>
        <w:div w:id="1476680176">
          <w:marLeft w:val="0"/>
          <w:marRight w:val="0"/>
          <w:marTop w:val="0"/>
          <w:marBottom w:val="0"/>
          <w:divBdr>
            <w:top w:val="none" w:sz="0" w:space="0" w:color="auto"/>
            <w:left w:val="none" w:sz="0" w:space="0" w:color="auto"/>
            <w:bottom w:val="none" w:sz="0" w:space="0" w:color="auto"/>
            <w:right w:val="none" w:sz="0" w:space="0" w:color="auto"/>
          </w:divBdr>
        </w:div>
        <w:div w:id="1945961735">
          <w:marLeft w:val="0"/>
          <w:marRight w:val="0"/>
          <w:marTop w:val="0"/>
          <w:marBottom w:val="0"/>
          <w:divBdr>
            <w:top w:val="none" w:sz="0" w:space="0" w:color="auto"/>
            <w:left w:val="none" w:sz="0" w:space="0" w:color="auto"/>
            <w:bottom w:val="none" w:sz="0" w:space="0" w:color="auto"/>
            <w:right w:val="none" w:sz="0" w:space="0" w:color="auto"/>
          </w:divBdr>
        </w:div>
        <w:div w:id="1715352022">
          <w:marLeft w:val="0"/>
          <w:marRight w:val="0"/>
          <w:marTop w:val="0"/>
          <w:marBottom w:val="0"/>
          <w:divBdr>
            <w:top w:val="none" w:sz="0" w:space="0" w:color="auto"/>
            <w:left w:val="none" w:sz="0" w:space="0" w:color="auto"/>
            <w:bottom w:val="none" w:sz="0" w:space="0" w:color="auto"/>
            <w:right w:val="none" w:sz="0" w:space="0" w:color="auto"/>
          </w:divBdr>
        </w:div>
        <w:div w:id="80957028">
          <w:marLeft w:val="0"/>
          <w:marRight w:val="0"/>
          <w:marTop w:val="0"/>
          <w:marBottom w:val="0"/>
          <w:divBdr>
            <w:top w:val="none" w:sz="0" w:space="0" w:color="auto"/>
            <w:left w:val="none" w:sz="0" w:space="0" w:color="auto"/>
            <w:bottom w:val="none" w:sz="0" w:space="0" w:color="auto"/>
            <w:right w:val="none" w:sz="0" w:space="0" w:color="auto"/>
          </w:divBdr>
        </w:div>
        <w:div w:id="2112629072">
          <w:marLeft w:val="0"/>
          <w:marRight w:val="0"/>
          <w:marTop w:val="0"/>
          <w:marBottom w:val="0"/>
          <w:divBdr>
            <w:top w:val="none" w:sz="0" w:space="0" w:color="auto"/>
            <w:left w:val="none" w:sz="0" w:space="0" w:color="auto"/>
            <w:bottom w:val="none" w:sz="0" w:space="0" w:color="auto"/>
            <w:right w:val="none" w:sz="0" w:space="0" w:color="auto"/>
          </w:divBdr>
        </w:div>
        <w:div w:id="2134133223">
          <w:marLeft w:val="0"/>
          <w:marRight w:val="0"/>
          <w:marTop w:val="0"/>
          <w:marBottom w:val="0"/>
          <w:divBdr>
            <w:top w:val="none" w:sz="0" w:space="0" w:color="auto"/>
            <w:left w:val="none" w:sz="0" w:space="0" w:color="auto"/>
            <w:bottom w:val="none" w:sz="0" w:space="0" w:color="auto"/>
            <w:right w:val="none" w:sz="0" w:space="0" w:color="auto"/>
          </w:divBdr>
        </w:div>
        <w:div w:id="1221558224">
          <w:marLeft w:val="0"/>
          <w:marRight w:val="0"/>
          <w:marTop w:val="0"/>
          <w:marBottom w:val="0"/>
          <w:divBdr>
            <w:top w:val="none" w:sz="0" w:space="0" w:color="auto"/>
            <w:left w:val="none" w:sz="0" w:space="0" w:color="auto"/>
            <w:bottom w:val="none" w:sz="0" w:space="0" w:color="auto"/>
            <w:right w:val="none" w:sz="0" w:space="0" w:color="auto"/>
          </w:divBdr>
        </w:div>
        <w:div w:id="252515278">
          <w:marLeft w:val="0"/>
          <w:marRight w:val="0"/>
          <w:marTop w:val="0"/>
          <w:marBottom w:val="0"/>
          <w:divBdr>
            <w:top w:val="none" w:sz="0" w:space="0" w:color="auto"/>
            <w:left w:val="none" w:sz="0" w:space="0" w:color="auto"/>
            <w:bottom w:val="none" w:sz="0" w:space="0" w:color="auto"/>
            <w:right w:val="none" w:sz="0" w:space="0" w:color="auto"/>
          </w:divBdr>
        </w:div>
        <w:div w:id="1669092609">
          <w:marLeft w:val="0"/>
          <w:marRight w:val="0"/>
          <w:marTop w:val="0"/>
          <w:marBottom w:val="0"/>
          <w:divBdr>
            <w:top w:val="none" w:sz="0" w:space="0" w:color="auto"/>
            <w:left w:val="none" w:sz="0" w:space="0" w:color="auto"/>
            <w:bottom w:val="none" w:sz="0" w:space="0" w:color="auto"/>
            <w:right w:val="none" w:sz="0" w:space="0" w:color="auto"/>
          </w:divBdr>
        </w:div>
        <w:div w:id="664629952">
          <w:marLeft w:val="0"/>
          <w:marRight w:val="0"/>
          <w:marTop w:val="0"/>
          <w:marBottom w:val="0"/>
          <w:divBdr>
            <w:top w:val="none" w:sz="0" w:space="0" w:color="auto"/>
            <w:left w:val="none" w:sz="0" w:space="0" w:color="auto"/>
            <w:bottom w:val="none" w:sz="0" w:space="0" w:color="auto"/>
            <w:right w:val="none" w:sz="0" w:space="0" w:color="auto"/>
          </w:divBdr>
        </w:div>
        <w:div w:id="1733387336">
          <w:marLeft w:val="0"/>
          <w:marRight w:val="0"/>
          <w:marTop w:val="0"/>
          <w:marBottom w:val="0"/>
          <w:divBdr>
            <w:top w:val="none" w:sz="0" w:space="0" w:color="auto"/>
            <w:left w:val="none" w:sz="0" w:space="0" w:color="auto"/>
            <w:bottom w:val="none" w:sz="0" w:space="0" w:color="auto"/>
            <w:right w:val="none" w:sz="0" w:space="0" w:color="auto"/>
          </w:divBdr>
        </w:div>
        <w:div w:id="1008874265">
          <w:marLeft w:val="0"/>
          <w:marRight w:val="0"/>
          <w:marTop w:val="0"/>
          <w:marBottom w:val="0"/>
          <w:divBdr>
            <w:top w:val="none" w:sz="0" w:space="0" w:color="auto"/>
            <w:left w:val="none" w:sz="0" w:space="0" w:color="auto"/>
            <w:bottom w:val="none" w:sz="0" w:space="0" w:color="auto"/>
            <w:right w:val="none" w:sz="0" w:space="0" w:color="auto"/>
          </w:divBdr>
        </w:div>
        <w:div w:id="1720666301">
          <w:marLeft w:val="0"/>
          <w:marRight w:val="0"/>
          <w:marTop w:val="0"/>
          <w:marBottom w:val="0"/>
          <w:divBdr>
            <w:top w:val="none" w:sz="0" w:space="0" w:color="auto"/>
            <w:left w:val="none" w:sz="0" w:space="0" w:color="auto"/>
            <w:bottom w:val="none" w:sz="0" w:space="0" w:color="auto"/>
            <w:right w:val="none" w:sz="0" w:space="0" w:color="auto"/>
          </w:divBdr>
        </w:div>
        <w:div w:id="584724604">
          <w:marLeft w:val="0"/>
          <w:marRight w:val="0"/>
          <w:marTop w:val="0"/>
          <w:marBottom w:val="0"/>
          <w:divBdr>
            <w:top w:val="none" w:sz="0" w:space="0" w:color="auto"/>
            <w:left w:val="none" w:sz="0" w:space="0" w:color="auto"/>
            <w:bottom w:val="none" w:sz="0" w:space="0" w:color="auto"/>
            <w:right w:val="none" w:sz="0" w:space="0" w:color="auto"/>
          </w:divBdr>
        </w:div>
        <w:div w:id="383481532">
          <w:marLeft w:val="0"/>
          <w:marRight w:val="0"/>
          <w:marTop w:val="0"/>
          <w:marBottom w:val="0"/>
          <w:divBdr>
            <w:top w:val="none" w:sz="0" w:space="0" w:color="auto"/>
            <w:left w:val="none" w:sz="0" w:space="0" w:color="auto"/>
            <w:bottom w:val="none" w:sz="0" w:space="0" w:color="auto"/>
            <w:right w:val="none" w:sz="0" w:space="0" w:color="auto"/>
          </w:divBdr>
        </w:div>
        <w:div w:id="1043095461">
          <w:marLeft w:val="0"/>
          <w:marRight w:val="0"/>
          <w:marTop w:val="0"/>
          <w:marBottom w:val="0"/>
          <w:divBdr>
            <w:top w:val="none" w:sz="0" w:space="0" w:color="auto"/>
            <w:left w:val="none" w:sz="0" w:space="0" w:color="auto"/>
            <w:bottom w:val="none" w:sz="0" w:space="0" w:color="auto"/>
            <w:right w:val="none" w:sz="0" w:space="0" w:color="auto"/>
          </w:divBdr>
        </w:div>
        <w:div w:id="1348286052">
          <w:marLeft w:val="0"/>
          <w:marRight w:val="0"/>
          <w:marTop w:val="0"/>
          <w:marBottom w:val="0"/>
          <w:divBdr>
            <w:top w:val="none" w:sz="0" w:space="0" w:color="auto"/>
            <w:left w:val="none" w:sz="0" w:space="0" w:color="auto"/>
            <w:bottom w:val="none" w:sz="0" w:space="0" w:color="auto"/>
            <w:right w:val="none" w:sz="0" w:space="0" w:color="auto"/>
          </w:divBdr>
        </w:div>
        <w:div w:id="1131707596">
          <w:marLeft w:val="0"/>
          <w:marRight w:val="0"/>
          <w:marTop w:val="0"/>
          <w:marBottom w:val="0"/>
          <w:divBdr>
            <w:top w:val="none" w:sz="0" w:space="0" w:color="auto"/>
            <w:left w:val="none" w:sz="0" w:space="0" w:color="auto"/>
            <w:bottom w:val="none" w:sz="0" w:space="0" w:color="auto"/>
            <w:right w:val="none" w:sz="0" w:space="0" w:color="auto"/>
          </w:divBdr>
        </w:div>
        <w:div w:id="1538008036">
          <w:marLeft w:val="0"/>
          <w:marRight w:val="0"/>
          <w:marTop w:val="0"/>
          <w:marBottom w:val="0"/>
          <w:divBdr>
            <w:top w:val="none" w:sz="0" w:space="0" w:color="auto"/>
            <w:left w:val="none" w:sz="0" w:space="0" w:color="auto"/>
            <w:bottom w:val="none" w:sz="0" w:space="0" w:color="auto"/>
            <w:right w:val="none" w:sz="0" w:space="0" w:color="auto"/>
          </w:divBdr>
        </w:div>
        <w:div w:id="1940143433">
          <w:marLeft w:val="0"/>
          <w:marRight w:val="0"/>
          <w:marTop w:val="0"/>
          <w:marBottom w:val="0"/>
          <w:divBdr>
            <w:top w:val="none" w:sz="0" w:space="0" w:color="auto"/>
            <w:left w:val="none" w:sz="0" w:space="0" w:color="auto"/>
            <w:bottom w:val="none" w:sz="0" w:space="0" w:color="auto"/>
            <w:right w:val="none" w:sz="0" w:space="0" w:color="auto"/>
          </w:divBdr>
        </w:div>
        <w:div w:id="555630691">
          <w:marLeft w:val="0"/>
          <w:marRight w:val="0"/>
          <w:marTop w:val="0"/>
          <w:marBottom w:val="0"/>
          <w:divBdr>
            <w:top w:val="none" w:sz="0" w:space="0" w:color="auto"/>
            <w:left w:val="none" w:sz="0" w:space="0" w:color="auto"/>
            <w:bottom w:val="none" w:sz="0" w:space="0" w:color="auto"/>
            <w:right w:val="none" w:sz="0" w:space="0" w:color="auto"/>
          </w:divBdr>
        </w:div>
        <w:div w:id="793521350">
          <w:marLeft w:val="0"/>
          <w:marRight w:val="0"/>
          <w:marTop w:val="0"/>
          <w:marBottom w:val="0"/>
          <w:divBdr>
            <w:top w:val="none" w:sz="0" w:space="0" w:color="auto"/>
            <w:left w:val="none" w:sz="0" w:space="0" w:color="auto"/>
            <w:bottom w:val="none" w:sz="0" w:space="0" w:color="auto"/>
            <w:right w:val="none" w:sz="0" w:space="0" w:color="auto"/>
          </w:divBdr>
        </w:div>
        <w:div w:id="1336687660">
          <w:marLeft w:val="0"/>
          <w:marRight w:val="0"/>
          <w:marTop w:val="0"/>
          <w:marBottom w:val="0"/>
          <w:divBdr>
            <w:top w:val="none" w:sz="0" w:space="0" w:color="auto"/>
            <w:left w:val="none" w:sz="0" w:space="0" w:color="auto"/>
            <w:bottom w:val="none" w:sz="0" w:space="0" w:color="auto"/>
            <w:right w:val="none" w:sz="0" w:space="0" w:color="auto"/>
          </w:divBdr>
        </w:div>
        <w:div w:id="190262687">
          <w:marLeft w:val="0"/>
          <w:marRight w:val="0"/>
          <w:marTop w:val="0"/>
          <w:marBottom w:val="0"/>
          <w:divBdr>
            <w:top w:val="none" w:sz="0" w:space="0" w:color="auto"/>
            <w:left w:val="none" w:sz="0" w:space="0" w:color="auto"/>
            <w:bottom w:val="none" w:sz="0" w:space="0" w:color="auto"/>
            <w:right w:val="none" w:sz="0" w:space="0" w:color="auto"/>
          </w:divBdr>
        </w:div>
        <w:div w:id="1384519217">
          <w:marLeft w:val="0"/>
          <w:marRight w:val="0"/>
          <w:marTop w:val="0"/>
          <w:marBottom w:val="0"/>
          <w:divBdr>
            <w:top w:val="none" w:sz="0" w:space="0" w:color="auto"/>
            <w:left w:val="none" w:sz="0" w:space="0" w:color="auto"/>
            <w:bottom w:val="none" w:sz="0" w:space="0" w:color="auto"/>
            <w:right w:val="none" w:sz="0" w:space="0" w:color="auto"/>
          </w:divBdr>
        </w:div>
        <w:div w:id="1509252446">
          <w:marLeft w:val="0"/>
          <w:marRight w:val="0"/>
          <w:marTop w:val="0"/>
          <w:marBottom w:val="0"/>
          <w:divBdr>
            <w:top w:val="none" w:sz="0" w:space="0" w:color="auto"/>
            <w:left w:val="none" w:sz="0" w:space="0" w:color="auto"/>
            <w:bottom w:val="none" w:sz="0" w:space="0" w:color="auto"/>
            <w:right w:val="none" w:sz="0" w:space="0" w:color="auto"/>
          </w:divBdr>
        </w:div>
        <w:div w:id="371073349">
          <w:marLeft w:val="0"/>
          <w:marRight w:val="0"/>
          <w:marTop w:val="0"/>
          <w:marBottom w:val="0"/>
          <w:divBdr>
            <w:top w:val="none" w:sz="0" w:space="0" w:color="auto"/>
            <w:left w:val="none" w:sz="0" w:space="0" w:color="auto"/>
            <w:bottom w:val="none" w:sz="0" w:space="0" w:color="auto"/>
            <w:right w:val="none" w:sz="0" w:space="0" w:color="auto"/>
          </w:divBdr>
        </w:div>
        <w:div w:id="1706522932">
          <w:marLeft w:val="0"/>
          <w:marRight w:val="0"/>
          <w:marTop w:val="0"/>
          <w:marBottom w:val="0"/>
          <w:divBdr>
            <w:top w:val="none" w:sz="0" w:space="0" w:color="auto"/>
            <w:left w:val="none" w:sz="0" w:space="0" w:color="auto"/>
            <w:bottom w:val="none" w:sz="0" w:space="0" w:color="auto"/>
            <w:right w:val="none" w:sz="0" w:space="0" w:color="auto"/>
          </w:divBdr>
        </w:div>
        <w:div w:id="1637641437">
          <w:marLeft w:val="0"/>
          <w:marRight w:val="0"/>
          <w:marTop w:val="0"/>
          <w:marBottom w:val="0"/>
          <w:divBdr>
            <w:top w:val="none" w:sz="0" w:space="0" w:color="auto"/>
            <w:left w:val="none" w:sz="0" w:space="0" w:color="auto"/>
            <w:bottom w:val="none" w:sz="0" w:space="0" w:color="auto"/>
            <w:right w:val="none" w:sz="0" w:space="0" w:color="auto"/>
          </w:divBdr>
        </w:div>
        <w:div w:id="299388077">
          <w:marLeft w:val="0"/>
          <w:marRight w:val="0"/>
          <w:marTop w:val="0"/>
          <w:marBottom w:val="0"/>
          <w:divBdr>
            <w:top w:val="none" w:sz="0" w:space="0" w:color="auto"/>
            <w:left w:val="none" w:sz="0" w:space="0" w:color="auto"/>
            <w:bottom w:val="none" w:sz="0" w:space="0" w:color="auto"/>
            <w:right w:val="none" w:sz="0" w:space="0" w:color="auto"/>
          </w:divBdr>
        </w:div>
        <w:div w:id="896554665">
          <w:marLeft w:val="0"/>
          <w:marRight w:val="0"/>
          <w:marTop w:val="0"/>
          <w:marBottom w:val="0"/>
          <w:divBdr>
            <w:top w:val="none" w:sz="0" w:space="0" w:color="auto"/>
            <w:left w:val="none" w:sz="0" w:space="0" w:color="auto"/>
            <w:bottom w:val="none" w:sz="0" w:space="0" w:color="auto"/>
            <w:right w:val="none" w:sz="0" w:space="0" w:color="auto"/>
          </w:divBdr>
        </w:div>
        <w:div w:id="921255288">
          <w:marLeft w:val="0"/>
          <w:marRight w:val="0"/>
          <w:marTop w:val="0"/>
          <w:marBottom w:val="0"/>
          <w:divBdr>
            <w:top w:val="none" w:sz="0" w:space="0" w:color="auto"/>
            <w:left w:val="none" w:sz="0" w:space="0" w:color="auto"/>
            <w:bottom w:val="none" w:sz="0" w:space="0" w:color="auto"/>
            <w:right w:val="none" w:sz="0" w:space="0" w:color="auto"/>
          </w:divBdr>
        </w:div>
        <w:div w:id="994918839">
          <w:marLeft w:val="0"/>
          <w:marRight w:val="0"/>
          <w:marTop w:val="0"/>
          <w:marBottom w:val="0"/>
          <w:divBdr>
            <w:top w:val="none" w:sz="0" w:space="0" w:color="auto"/>
            <w:left w:val="none" w:sz="0" w:space="0" w:color="auto"/>
            <w:bottom w:val="none" w:sz="0" w:space="0" w:color="auto"/>
            <w:right w:val="none" w:sz="0" w:space="0" w:color="auto"/>
          </w:divBdr>
        </w:div>
        <w:div w:id="605773299">
          <w:marLeft w:val="0"/>
          <w:marRight w:val="0"/>
          <w:marTop w:val="0"/>
          <w:marBottom w:val="0"/>
          <w:divBdr>
            <w:top w:val="none" w:sz="0" w:space="0" w:color="auto"/>
            <w:left w:val="none" w:sz="0" w:space="0" w:color="auto"/>
            <w:bottom w:val="none" w:sz="0" w:space="0" w:color="auto"/>
            <w:right w:val="none" w:sz="0" w:space="0" w:color="auto"/>
          </w:divBdr>
        </w:div>
        <w:div w:id="1341542103">
          <w:marLeft w:val="0"/>
          <w:marRight w:val="0"/>
          <w:marTop w:val="0"/>
          <w:marBottom w:val="0"/>
          <w:divBdr>
            <w:top w:val="none" w:sz="0" w:space="0" w:color="auto"/>
            <w:left w:val="none" w:sz="0" w:space="0" w:color="auto"/>
            <w:bottom w:val="none" w:sz="0" w:space="0" w:color="auto"/>
            <w:right w:val="none" w:sz="0" w:space="0" w:color="auto"/>
          </w:divBdr>
        </w:div>
        <w:div w:id="805123062">
          <w:marLeft w:val="0"/>
          <w:marRight w:val="0"/>
          <w:marTop w:val="0"/>
          <w:marBottom w:val="0"/>
          <w:divBdr>
            <w:top w:val="none" w:sz="0" w:space="0" w:color="auto"/>
            <w:left w:val="none" w:sz="0" w:space="0" w:color="auto"/>
            <w:bottom w:val="none" w:sz="0" w:space="0" w:color="auto"/>
            <w:right w:val="none" w:sz="0" w:space="0" w:color="auto"/>
          </w:divBdr>
        </w:div>
        <w:div w:id="2113428953">
          <w:marLeft w:val="0"/>
          <w:marRight w:val="0"/>
          <w:marTop w:val="0"/>
          <w:marBottom w:val="0"/>
          <w:divBdr>
            <w:top w:val="none" w:sz="0" w:space="0" w:color="auto"/>
            <w:left w:val="none" w:sz="0" w:space="0" w:color="auto"/>
            <w:bottom w:val="none" w:sz="0" w:space="0" w:color="auto"/>
            <w:right w:val="none" w:sz="0" w:space="0" w:color="auto"/>
          </w:divBdr>
        </w:div>
        <w:div w:id="1718354742">
          <w:marLeft w:val="0"/>
          <w:marRight w:val="0"/>
          <w:marTop w:val="0"/>
          <w:marBottom w:val="0"/>
          <w:divBdr>
            <w:top w:val="none" w:sz="0" w:space="0" w:color="auto"/>
            <w:left w:val="none" w:sz="0" w:space="0" w:color="auto"/>
            <w:bottom w:val="none" w:sz="0" w:space="0" w:color="auto"/>
            <w:right w:val="none" w:sz="0" w:space="0" w:color="auto"/>
          </w:divBdr>
        </w:div>
      </w:divsChild>
    </w:div>
    <w:div w:id="1329137071">
      <w:bodyDiv w:val="1"/>
      <w:marLeft w:val="0"/>
      <w:marRight w:val="0"/>
      <w:marTop w:val="0"/>
      <w:marBottom w:val="0"/>
      <w:divBdr>
        <w:top w:val="none" w:sz="0" w:space="0" w:color="auto"/>
        <w:left w:val="none" w:sz="0" w:space="0" w:color="auto"/>
        <w:bottom w:val="none" w:sz="0" w:space="0" w:color="auto"/>
        <w:right w:val="none" w:sz="0" w:space="0" w:color="auto"/>
      </w:divBdr>
    </w:div>
    <w:div w:id="1652631458">
      <w:bodyDiv w:val="1"/>
      <w:marLeft w:val="0"/>
      <w:marRight w:val="0"/>
      <w:marTop w:val="0"/>
      <w:marBottom w:val="0"/>
      <w:divBdr>
        <w:top w:val="none" w:sz="0" w:space="0" w:color="auto"/>
        <w:left w:val="none" w:sz="0" w:space="0" w:color="auto"/>
        <w:bottom w:val="none" w:sz="0" w:space="0" w:color="auto"/>
        <w:right w:val="none" w:sz="0" w:space="0" w:color="auto"/>
      </w:divBdr>
    </w:div>
    <w:div w:id="1661276990">
      <w:bodyDiv w:val="1"/>
      <w:marLeft w:val="0"/>
      <w:marRight w:val="0"/>
      <w:marTop w:val="0"/>
      <w:marBottom w:val="0"/>
      <w:divBdr>
        <w:top w:val="none" w:sz="0" w:space="0" w:color="auto"/>
        <w:left w:val="none" w:sz="0" w:space="0" w:color="auto"/>
        <w:bottom w:val="none" w:sz="0" w:space="0" w:color="auto"/>
        <w:right w:val="none" w:sz="0" w:space="0" w:color="auto"/>
      </w:divBdr>
    </w:div>
    <w:div w:id="1708406185">
      <w:bodyDiv w:val="1"/>
      <w:marLeft w:val="0"/>
      <w:marRight w:val="0"/>
      <w:marTop w:val="0"/>
      <w:marBottom w:val="0"/>
      <w:divBdr>
        <w:top w:val="none" w:sz="0" w:space="0" w:color="auto"/>
        <w:left w:val="none" w:sz="0" w:space="0" w:color="auto"/>
        <w:bottom w:val="none" w:sz="0" w:space="0" w:color="auto"/>
        <w:right w:val="none" w:sz="0" w:space="0" w:color="auto"/>
      </w:divBdr>
    </w:div>
    <w:div w:id="1839999132">
      <w:bodyDiv w:val="1"/>
      <w:marLeft w:val="0"/>
      <w:marRight w:val="0"/>
      <w:marTop w:val="0"/>
      <w:marBottom w:val="0"/>
      <w:divBdr>
        <w:top w:val="none" w:sz="0" w:space="0" w:color="auto"/>
        <w:left w:val="none" w:sz="0" w:space="0" w:color="auto"/>
        <w:bottom w:val="none" w:sz="0" w:space="0" w:color="auto"/>
        <w:right w:val="none" w:sz="0" w:space="0" w:color="auto"/>
      </w:divBdr>
    </w:div>
    <w:div w:id="1931885412">
      <w:bodyDiv w:val="1"/>
      <w:marLeft w:val="0"/>
      <w:marRight w:val="0"/>
      <w:marTop w:val="0"/>
      <w:marBottom w:val="0"/>
      <w:divBdr>
        <w:top w:val="none" w:sz="0" w:space="0" w:color="auto"/>
        <w:left w:val="none" w:sz="0" w:space="0" w:color="auto"/>
        <w:bottom w:val="none" w:sz="0" w:space="0" w:color="auto"/>
        <w:right w:val="none" w:sz="0" w:space="0" w:color="auto"/>
      </w:divBdr>
    </w:div>
    <w:div w:id="2071150889">
      <w:bodyDiv w:val="1"/>
      <w:marLeft w:val="0"/>
      <w:marRight w:val="0"/>
      <w:marTop w:val="0"/>
      <w:marBottom w:val="0"/>
      <w:divBdr>
        <w:top w:val="none" w:sz="0" w:space="0" w:color="auto"/>
        <w:left w:val="none" w:sz="0" w:space="0" w:color="auto"/>
        <w:bottom w:val="none" w:sz="0" w:space="0" w:color="auto"/>
        <w:right w:val="none" w:sz="0" w:space="0" w:color="auto"/>
      </w:divBdr>
    </w:div>
    <w:div w:id="2127190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ist.oilchem.net/231/18153/" TargetMode="Externa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image" Target="media/image8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FD4AC7-4758-4AF7-8DF1-EBF230695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12261</TotalTime>
  <Pages>6</Pages>
  <Words>238</Words>
  <Characters>1360</Characters>
  <Application>Microsoft Office Word</Application>
  <DocSecurity>0</DocSecurity>
  <Lines>11</Lines>
  <Paragraphs>3</Paragraphs>
  <ScaleCrop>false</ScaleCrop>
  <Company/>
  <LinksUpToDate>false</LinksUpToDate>
  <CharactersWithSpaces>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司 敬博</dc:creator>
  <cp:lastModifiedBy>User</cp:lastModifiedBy>
  <cp:revision>1624</cp:revision>
  <cp:lastPrinted>2023-03-01T08:21:00Z</cp:lastPrinted>
  <dcterms:created xsi:type="dcterms:W3CDTF">2020-06-04T07:46:00Z</dcterms:created>
  <dcterms:modified xsi:type="dcterms:W3CDTF">2023-03-01T08:21:00Z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222D8B94ED8146829FAF439C007D590E</vt:lpwstr>
  </property>
</Properties>
</file>